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5F29" w14:textId="77777777" w:rsidR="00C32C64" w:rsidRPr="00203C85" w:rsidRDefault="00C32C64" w:rsidP="00C32C64">
      <w:pPr>
        <w:spacing w:line="360" w:lineRule="auto"/>
        <w:jc w:val="center"/>
        <w:rPr>
          <w:rFonts w:ascii="Times New Roman" w:eastAsia="Cambria" w:hAnsi="Times New Roman"/>
          <w:b/>
          <w:bCs/>
          <w:sz w:val="36"/>
          <w:szCs w:val="36"/>
        </w:rPr>
      </w:pPr>
      <w:bookmarkStart w:id="0" w:name="_Hlk114742896"/>
      <w:r w:rsidRPr="00203C85">
        <w:rPr>
          <w:rFonts w:ascii="Times New Roman" w:eastAsia="Cambria" w:hAnsi="Times New Roman"/>
          <w:b/>
          <w:bCs/>
          <w:sz w:val="36"/>
          <w:szCs w:val="36"/>
        </w:rPr>
        <w:t>République de Guinée</w:t>
      </w:r>
    </w:p>
    <w:p w14:paraId="56A16F9A" w14:textId="77777777" w:rsidR="00C32C64" w:rsidRPr="00203C85" w:rsidRDefault="00C32C64" w:rsidP="00C32C64">
      <w:pPr>
        <w:spacing w:line="360" w:lineRule="auto"/>
        <w:jc w:val="center"/>
        <w:rPr>
          <w:rFonts w:ascii="Times New Roman" w:eastAsia="Cambria" w:hAnsi="Times New Roman"/>
          <w:sz w:val="28"/>
          <w:szCs w:val="28"/>
        </w:rPr>
      </w:pPr>
      <w:r w:rsidRPr="00203C85">
        <w:rPr>
          <w:rFonts w:ascii="Times New Roman" w:eastAsia="Cambria" w:hAnsi="Times New Roman"/>
          <w:sz w:val="28"/>
          <w:szCs w:val="28"/>
        </w:rPr>
        <w:t>Travail- Justice- Solidarité</w:t>
      </w:r>
    </w:p>
    <w:p w14:paraId="0A433A45" w14:textId="77777777" w:rsidR="00C32C64" w:rsidRPr="00203C85" w:rsidRDefault="00C32C64" w:rsidP="00C32C64">
      <w:pPr>
        <w:spacing w:line="360" w:lineRule="auto"/>
        <w:jc w:val="center"/>
        <w:rPr>
          <w:rFonts w:ascii="Times New Roman" w:eastAsia="Cambria" w:hAnsi="Times New Roman"/>
          <w:sz w:val="14"/>
          <w:szCs w:val="14"/>
        </w:rPr>
      </w:pPr>
      <w:r w:rsidRPr="00203C85">
        <w:rPr>
          <w:rFonts w:ascii="Times New Roman" w:hAnsi="Times New Roman"/>
          <w:noProof/>
        </w:rPr>
        <w:drawing>
          <wp:inline distT="0" distB="0" distL="0" distR="0" wp14:anchorId="64131CB0" wp14:editId="7562001D">
            <wp:extent cx="1307465" cy="120586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7465" cy="1205865"/>
                    </a:xfrm>
                    <a:prstGeom prst="rect">
                      <a:avLst/>
                    </a:prstGeom>
                  </pic:spPr>
                </pic:pic>
              </a:graphicData>
            </a:graphic>
          </wp:inline>
        </w:drawing>
      </w:r>
      <w:r w:rsidRPr="00203C85">
        <w:rPr>
          <w:rFonts w:ascii="Times New Roman" w:hAnsi="Times New Roman"/>
        </w:rPr>
        <w:tab/>
      </w:r>
    </w:p>
    <w:p w14:paraId="501F1BF1" w14:textId="77777777" w:rsidR="00C32C64" w:rsidRPr="00203C85" w:rsidRDefault="00C32C64" w:rsidP="00C32C64">
      <w:pPr>
        <w:spacing w:line="360" w:lineRule="auto"/>
        <w:rPr>
          <w:rFonts w:ascii="Times New Roman" w:eastAsia="Cambria" w:hAnsi="Times New Roman"/>
          <w:b/>
          <w:bCs/>
          <w:sz w:val="32"/>
          <w:szCs w:val="32"/>
        </w:rPr>
      </w:pPr>
    </w:p>
    <w:p w14:paraId="547FD334" w14:textId="77777777" w:rsidR="00C32C64" w:rsidRPr="00203C85" w:rsidRDefault="00C32C64" w:rsidP="00C32C64">
      <w:pPr>
        <w:spacing w:line="360" w:lineRule="auto"/>
        <w:jc w:val="center"/>
        <w:rPr>
          <w:rFonts w:ascii="Times New Roman" w:eastAsia="Cambria" w:hAnsi="Times New Roman"/>
          <w:b/>
          <w:bCs/>
          <w:sz w:val="48"/>
          <w:szCs w:val="48"/>
        </w:rPr>
      </w:pPr>
      <w:r w:rsidRPr="00203C85">
        <w:rPr>
          <w:rFonts w:ascii="Times New Roman" w:eastAsia="Cambria" w:hAnsi="Times New Roman"/>
          <w:b/>
          <w:bCs/>
          <w:sz w:val="48"/>
          <w:szCs w:val="48"/>
        </w:rPr>
        <w:t>CONSEIL NATIONAL DE LA TRANSITION</w:t>
      </w:r>
    </w:p>
    <w:p w14:paraId="46D645E3" w14:textId="77777777" w:rsidR="00C32C64" w:rsidRPr="00203C85" w:rsidRDefault="00C32C64" w:rsidP="00C32C64">
      <w:pPr>
        <w:tabs>
          <w:tab w:val="left" w:pos="3495"/>
        </w:tabs>
        <w:spacing w:line="360" w:lineRule="auto"/>
        <w:rPr>
          <w:rFonts w:ascii="Times New Roman" w:eastAsia="Cambria" w:hAnsi="Times New Roman"/>
          <w:b/>
          <w:bCs/>
          <w:iCs/>
          <w:sz w:val="48"/>
          <w:szCs w:val="48"/>
        </w:rPr>
      </w:pPr>
      <w:r w:rsidRPr="00203C85">
        <w:rPr>
          <w:rFonts w:ascii="Times New Roman" w:hAnsi="Times New Roman"/>
          <w:noProof/>
          <w:sz w:val="28"/>
        </w:rPr>
        <mc:AlternateContent>
          <mc:Choice Requires="wps">
            <w:drawing>
              <wp:anchor distT="0" distB="0" distL="0" distR="0" simplePos="0" relativeHeight="251659264" behindDoc="0" locked="0" layoutInCell="0" allowOverlap="1" wp14:anchorId="60DD4ED0" wp14:editId="252566DE">
                <wp:simplePos x="0" y="0"/>
                <wp:positionH relativeFrom="column">
                  <wp:posOffset>2605405</wp:posOffset>
                </wp:positionH>
                <wp:positionV relativeFrom="paragraph">
                  <wp:posOffset>62230</wp:posOffset>
                </wp:positionV>
                <wp:extent cx="933450" cy="635"/>
                <wp:effectExtent l="5080" t="5080" r="5080" b="5080"/>
                <wp:wrapNone/>
                <wp:docPr id="2" name="Connecteur droit 3"/>
                <wp:cNvGraphicFramePr/>
                <a:graphic xmlns:a="http://schemas.openxmlformats.org/drawingml/2006/main">
                  <a:graphicData uri="http://schemas.microsoft.com/office/word/2010/wordprocessingShape">
                    <wps:wsp>
                      <wps:cNvCnPr/>
                      <wps:spPr>
                        <a:xfrm>
                          <a:off x="0" y="0"/>
                          <a:ext cx="933480" cy="720"/>
                        </a:xfrm>
                        <a:prstGeom prst="line">
                          <a:avLst/>
                        </a:prstGeom>
                        <a:ln w="9525">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E9D54A9" id="Connecteur droit 3"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205.15pt,4.9pt" to="278.65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YPhvAEAAM8DAAAOAAAAZHJzL2Uyb0RvYy54bWysU9tOGzEQfa/Uf7D83mwIUGCVDSq3vlQF&#13;&#10;QfsBji9ZS7bHGpts8vcdO2FD4YmqL17bM+fMnOPZ+eXGO7bWmCyEjh9NppzpIEHZsOr47193X845&#13;&#10;S1kEJRwE3fGtTvxy8fnTfIitnkEPTmlkRBJSO8SO9znHtmmS7LUXaQJRBwoaQC8yHXHVKBQDsXvX&#13;&#10;zKbTr80AqCKC1CnR7c0uyBeV3xgt870xSWfmOk695bpiXZdlbRZz0a5QxN7KfRviH7rwwgYqOlLd&#13;&#10;iCzYM9p3VN5KhAQmTyT4BoyxUlcNpOZo+kbNUy+irlrInBRHm9L/o5U/19fhAcmGIaY2xQcsKjYG&#13;&#10;fflSf2xTzdqOZulNZpIuL46PT87JUkmhs1l1sjkgI6b8XYNnZdNxZ0MRIlqx/pEyVaPUl5Ry7QIb&#13;&#10;iPJ0dlqzEjir7qxzJZZwtbx2yNaC3vDk29nt1VV5NmL4Kw3hOajdvQsUPuipu7x1elfpURtmVZVV&#13;&#10;6eWefzcVNLYk6mU2qIgLBCiJhvr5IHYPKWhdh/GD+BFU60PII97bAFhteKWubJegtvU9qwE0NdWp&#13;&#10;/YSXsXx9rjYd/sPFHwAAAP//AwBQSwMEFAAGAAgAAAAhAL/v/EXiAAAADAEAAA8AAABkcnMvZG93&#13;&#10;bnJldi54bWxMj0FPwzAMhe9I/IfISNxYOqBs65pOMLRpFyTY0M5ZY5pC41RNtpX+eswJLpY+Pfv5&#13;&#10;vXzRu0acsAu1JwXjUQICqfSmpkrB+251MwURoiajG0+o4BsDLIrLi1xnxp/pDU/bWAk2oZBpBTbG&#13;&#10;NpMylBadDiPfIrH24TunI2NXSdPpM5u7Rt4myYN0uib+YHWLS4vl1/boFAxmunzd2PXw8rSfDGkV&#13;&#10;dqv1/lOp66v+ec7jcQ4iYh//LuC3A+eHgoMd/JFMEI2C+3Fyx6sKZlyD9TSdMB+YZyCLXP4vUfwA&#13;&#10;AAD//wMAUEsBAi0AFAAGAAgAAAAhALaDOJL+AAAA4QEAABMAAAAAAAAAAAAAAAAAAAAAAFtDb250&#13;&#10;ZW50X1R5cGVzXS54bWxQSwECLQAUAAYACAAAACEAOP0h/9YAAACUAQAACwAAAAAAAAAAAAAAAAAv&#13;&#10;AQAAX3JlbHMvLnJlbHNQSwECLQAUAAYACAAAACEAWhGD4bwBAADPAwAADgAAAAAAAAAAAAAAAAAu&#13;&#10;AgAAZHJzL2Uyb0RvYy54bWxQSwECLQAUAAYACAAAACEAv+/8ReIAAAAMAQAADwAAAAAAAAAAAAAA&#13;&#10;AAAWBAAAZHJzL2Rvd25yZXYueG1sUEsFBgAAAAAEAAQA8wAAACUFAAAAAA==&#13;&#10;" o:allowincell="f" strokecolor="#4a7ebb"/>
            </w:pict>
          </mc:Fallback>
        </mc:AlternateContent>
      </w:r>
      <w:r w:rsidRPr="00203C85">
        <w:rPr>
          <w:rFonts w:ascii="Times New Roman" w:hAnsi="Times New Roman"/>
          <w:b/>
          <w:i/>
          <w:sz w:val="28"/>
        </w:rPr>
        <w:tab/>
      </w:r>
    </w:p>
    <w:p w14:paraId="2543E0B2" w14:textId="3C409A9F" w:rsidR="00C32C64" w:rsidRPr="00C60E68" w:rsidRDefault="00C32C64" w:rsidP="00C32C64">
      <w:pPr>
        <w:spacing w:line="360" w:lineRule="auto"/>
        <w:contextualSpacing/>
        <w:jc w:val="center"/>
        <w:rPr>
          <w:rFonts w:ascii="Times New Roman" w:eastAsia="Cambria" w:hAnsi="Times New Roman"/>
          <w:b/>
          <w:bCs/>
          <w:sz w:val="32"/>
          <w:szCs w:val="32"/>
          <w:u w:val="single"/>
        </w:rPr>
      </w:pPr>
      <w:r w:rsidRPr="00C60E68">
        <w:rPr>
          <w:rFonts w:ascii="Times New Roman" w:eastAsia="Cambria" w:hAnsi="Times New Roman"/>
          <w:b/>
          <w:bCs/>
          <w:sz w:val="32"/>
          <w:szCs w:val="32"/>
          <w:u w:val="single"/>
        </w:rPr>
        <w:t xml:space="preserve">RAPPORT N° </w:t>
      </w:r>
      <w:r w:rsidR="00C60E68" w:rsidRPr="00C60E68">
        <w:rPr>
          <w:rFonts w:ascii="Times New Roman" w:eastAsia="Cambria" w:hAnsi="Times New Roman"/>
          <w:b/>
          <w:bCs/>
          <w:sz w:val="32"/>
          <w:szCs w:val="32"/>
          <w:u w:val="single"/>
        </w:rPr>
        <w:t>053</w:t>
      </w:r>
    </w:p>
    <w:p w14:paraId="380FCE3A" w14:textId="77777777" w:rsidR="00C32C64" w:rsidRDefault="00C32C64" w:rsidP="00C32C64">
      <w:pPr>
        <w:spacing w:line="360" w:lineRule="auto"/>
        <w:contextualSpacing/>
        <w:jc w:val="center"/>
        <w:rPr>
          <w:rFonts w:ascii="Times New Roman" w:eastAsia="Cambria" w:hAnsi="Times New Roman"/>
          <w:b/>
          <w:bCs/>
          <w:sz w:val="28"/>
          <w:szCs w:val="28"/>
        </w:rPr>
      </w:pPr>
    </w:p>
    <w:p w14:paraId="51675E70" w14:textId="6F437964" w:rsidR="00C32C64" w:rsidRPr="00203C85" w:rsidRDefault="00C32C64" w:rsidP="00C32C64">
      <w:pPr>
        <w:spacing w:line="360" w:lineRule="auto"/>
        <w:contextualSpacing/>
        <w:jc w:val="center"/>
        <w:rPr>
          <w:rFonts w:ascii="Times New Roman" w:eastAsia="Cambria" w:hAnsi="Times New Roman"/>
          <w:b/>
          <w:bCs/>
          <w:sz w:val="28"/>
          <w:szCs w:val="28"/>
        </w:rPr>
      </w:pPr>
      <w:r w:rsidRPr="00203C85">
        <w:rPr>
          <w:rFonts w:ascii="Times New Roman" w:eastAsia="Cambria" w:hAnsi="Times New Roman"/>
          <w:b/>
          <w:bCs/>
          <w:sz w:val="28"/>
          <w:szCs w:val="28"/>
        </w:rPr>
        <w:t xml:space="preserve">Projet </w:t>
      </w:r>
      <w:r>
        <w:rPr>
          <w:rFonts w:ascii="Times New Roman" w:eastAsia="Cambria" w:hAnsi="Times New Roman"/>
          <w:b/>
          <w:bCs/>
          <w:sz w:val="28"/>
          <w:szCs w:val="28"/>
        </w:rPr>
        <w:t xml:space="preserve">de loi </w:t>
      </w:r>
      <w:r w:rsidRPr="00203C85">
        <w:rPr>
          <w:rFonts w:ascii="Times New Roman" w:eastAsia="Cambria" w:hAnsi="Times New Roman"/>
          <w:b/>
          <w:bCs/>
          <w:sz w:val="28"/>
          <w:szCs w:val="28"/>
        </w:rPr>
        <w:t>enregistré au secrétariat central le 0</w:t>
      </w:r>
      <w:r>
        <w:rPr>
          <w:rFonts w:ascii="Times New Roman" w:eastAsia="Cambria" w:hAnsi="Times New Roman"/>
          <w:b/>
          <w:bCs/>
          <w:sz w:val="28"/>
          <w:szCs w:val="28"/>
        </w:rPr>
        <w:t>3</w:t>
      </w:r>
      <w:r w:rsidRPr="00203C85">
        <w:rPr>
          <w:rFonts w:ascii="Times New Roman" w:eastAsia="Cambria" w:hAnsi="Times New Roman"/>
          <w:b/>
          <w:bCs/>
          <w:sz w:val="28"/>
          <w:szCs w:val="28"/>
        </w:rPr>
        <w:t xml:space="preserve"> </w:t>
      </w:r>
      <w:r>
        <w:rPr>
          <w:rFonts w:ascii="Times New Roman" w:eastAsia="Cambria" w:hAnsi="Times New Roman"/>
          <w:b/>
          <w:bCs/>
          <w:sz w:val="28"/>
          <w:szCs w:val="28"/>
        </w:rPr>
        <w:t>juillet</w:t>
      </w:r>
      <w:r w:rsidRPr="00203C85">
        <w:rPr>
          <w:rFonts w:ascii="Times New Roman" w:eastAsia="Cambria" w:hAnsi="Times New Roman"/>
          <w:b/>
          <w:bCs/>
          <w:sz w:val="28"/>
          <w:szCs w:val="28"/>
        </w:rPr>
        <w:t xml:space="preserve"> 202</w:t>
      </w:r>
      <w:r>
        <w:rPr>
          <w:rFonts w:ascii="Times New Roman" w:eastAsia="Cambria" w:hAnsi="Times New Roman"/>
          <w:b/>
          <w:bCs/>
          <w:sz w:val="28"/>
          <w:szCs w:val="28"/>
        </w:rPr>
        <w:t>3</w:t>
      </w:r>
      <w:r w:rsidRPr="00203C85">
        <w:rPr>
          <w:rFonts w:ascii="Times New Roman" w:eastAsia="Cambria" w:hAnsi="Times New Roman"/>
          <w:b/>
          <w:bCs/>
          <w:sz w:val="28"/>
          <w:szCs w:val="28"/>
        </w:rPr>
        <w:t>, sous le N°090</w:t>
      </w:r>
      <w:r>
        <w:rPr>
          <w:rFonts w:ascii="Times New Roman" w:eastAsia="Cambria" w:hAnsi="Times New Roman"/>
          <w:b/>
          <w:bCs/>
          <w:sz w:val="28"/>
          <w:szCs w:val="28"/>
        </w:rPr>
        <w:t>9</w:t>
      </w:r>
      <w:r w:rsidRPr="00203C85">
        <w:rPr>
          <w:rFonts w:ascii="Times New Roman" w:eastAsia="Cambria" w:hAnsi="Times New Roman"/>
          <w:b/>
          <w:bCs/>
          <w:sz w:val="28"/>
          <w:szCs w:val="28"/>
        </w:rPr>
        <w:t xml:space="preserve"> </w:t>
      </w:r>
    </w:p>
    <w:p w14:paraId="059EC097" w14:textId="77777777" w:rsidR="00C32C64" w:rsidRPr="00203C85" w:rsidRDefault="00C32C64" w:rsidP="00C32C64">
      <w:pPr>
        <w:spacing w:line="360" w:lineRule="auto"/>
        <w:contextualSpacing/>
        <w:jc w:val="center"/>
        <w:rPr>
          <w:rFonts w:ascii="Times New Roman" w:eastAsia="Cambria" w:hAnsi="Times New Roman"/>
          <w:b/>
          <w:bCs/>
          <w:sz w:val="28"/>
          <w:szCs w:val="28"/>
        </w:rPr>
      </w:pPr>
    </w:p>
    <w:p w14:paraId="364F026D" w14:textId="77777777" w:rsidR="00C32C64" w:rsidRPr="00203C85" w:rsidRDefault="00C32C64" w:rsidP="00C32C64">
      <w:pPr>
        <w:spacing w:line="360" w:lineRule="auto"/>
        <w:contextualSpacing/>
        <w:jc w:val="center"/>
        <w:rPr>
          <w:rFonts w:ascii="Times New Roman" w:eastAsia="Cambria" w:hAnsi="Times New Roman"/>
          <w:b/>
          <w:bCs/>
          <w:sz w:val="28"/>
          <w:szCs w:val="28"/>
        </w:rPr>
      </w:pPr>
    </w:p>
    <w:p w14:paraId="101CD176" w14:textId="6E83E414" w:rsidR="00C32C64" w:rsidRPr="00C32C64" w:rsidRDefault="00C32C64" w:rsidP="00706B46">
      <w:pPr>
        <w:shd w:val="clear" w:color="auto" w:fill="D9E2F3" w:themeFill="accent1" w:themeFillTint="33"/>
        <w:spacing w:line="360" w:lineRule="auto"/>
        <w:contextualSpacing/>
        <w:jc w:val="center"/>
        <w:rPr>
          <w:rFonts w:ascii="Times New Roman" w:eastAsia="Cambria" w:hAnsi="Times New Roman"/>
          <w:b/>
          <w:bCs/>
          <w:sz w:val="28"/>
          <w:szCs w:val="28"/>
        </w:rPr>
      </w:pPr>
      <w:r w:rsidRPr="00203C85">
        <w:rPr>
          <w:rFonts w:ascii="Times New Roman" w:eastAsia="Cambria" w:hAnsi="Times New Roman"/>
          <w:b/>
          <w:bCs/>
          <w:sz w:val="28"/>
          <w:szCs w:val="28"/>
        </w:rPr>
        <w:t xml:space="preserve">RAPPORT D’EXAMEN DU PROJET DE LOI PORTANT </w:t>
      </w:r>
      <w:r w:rsidRPr="00C32C64">
        <w:rPr>
          <w:rFonts w:ascii="Times New Roman" w:eastAsia="Cambria" w:hAnsi="Times New Roman"/>
          <w:b/>
          <w:bCs/>
          <w:sz w:val="28"/>
          <w:szCs w:val="28"/>
        </w:rPr>
        <w:t>REGLEMENTATION DE LA PUBLICITE EN REPUBLIQUE DE GUINEE </w:t>
      </w:r>
    </w:p>
    <w:p w14:paraId="3C9C68BF" w14:textId="77777777" w:rsidR="00C32C64" w:rsidRPr="00203C85" w:rsidRDefault="00C32C64" w:rsidP="00C32C64">
      <w:pPr>
        <w:spacing w:line="360" w:lineRule="auto"/>
        <w:contextualSpacing/>
        <w:jc w:val="center"/>
        <w:rPr>
          <w:rFonts w:ascii="Times New Roman" w:eastAsia="Cambria" w:hAnsi="Times New Roman"/>
          <w:b/>
          <w:bCs/>
          <w:sz w:val="28"/>
          <w:szCs w:val="28"/>
        </w:rPr>
      </w:pPr>
    </w:p>
    <w:p w14:paraId="576B28CC" w14:textId="77777777" w:rsidR="00C32C64" w:rsidRPr="00203C85" w:rsidRDefault="00C32C64" w:rsidP="00C32C64">
      <w:pPr>
        <w:spacing w:line="360" w:lineRule="auto"/>
        <w:contextualSpacing/>
        <w:jc w:val="center"/>
        <w:rPr>
          <w:rFonts w:ascii="Times New Roman" w:eastAsia="Cambria" w:hAnsi="Times New Roman"/>
          <w:b/>
          <w:bCs/>
          <w:sz w:val="28"/>
          <w:szCs w:val="28"/>
        </w:rPr>
      </w:pPr>
    </w:p>
    <w:p w14:paraId="450909E7" w14:textId="1B0E2531" w:rsidR="00C32C64" w:rsidRPr="00203C85" w:rsidRDefault="00C32C64" w:rsidP="00C32C64">
      <w:pPr>
        <w:spacing w:line="360" w:lineRule="auto"/>
        <w:jc w:val="center"/>
        <w:rPr>
          <w:rFonts w:ascii="Times New Roman" w:eastAsia="Cambria" w:hAnsi="Times New Roman"/>
          <w:b/>
          <w:bCs/>
          <w:sz w:val="28"/>
          <w:szCs w:val="28"/>
        </w:rPr>
      </w:pPr>
      <w:r w:rsidRPr="00203C85">
        <w:rPr>
          <w:rFonts w:ascii="Times New Roman" w:eastAsia="Cambria" w:hAnsi="Times New Roman"/>
          <w:b/>
          <w:bCs/>
          <w:sz w:val="28"/>
          <w:szCs w:val="28"/>
        </w:rPr>
        <w:t xml:space="preserve">Commission Réconciliation, Droits humains, </w:t>
      </w:r>
      <w:r w:rsidR="002031B1" w:rsidRPr="00203C85">
        <w:rPr>
          <w:rFonts w:ascii="Times New Roman" w:eastAsia="Cambria" w:hAnsi="Times New Roman"/>
          <w:b/>
          <w:bCs/>
          <w:sz w:val="28"/>
          <w:szCs w:val="28"/>
        </w:rPr>
        <w:t xml:space="preserve">Justice, </w:t>
      </w:r>
      <w:r w:rsidRPr="00203C85">
        <w:rPr>
          <w:rFonts w:ascii="Times New Roman" w:eastAsia="Cambria" w:hAnsi="Times New Roman"/>
          <w:b/>
          <w:bCs/>
          <w:sz w:val="28"/>
          <w:szCs w:val="28"/>
        </w:rPr>
        <w:t>Communication, Information.</w:t>
      </w:r>
      <w:r w:rsidR="002031B1">
        <w:rPr>
          <w:rFonts w:ascii="Times New Roman" w:eastAsia="Cambria" w:hAnsi="Times New Roman"/>
          <w:b/>
          <w:bCs/>
          <w:sz w:val="28"/>
          <w:szCs w:val="28"/>
        </w:rPr>
        <w:t xml:space="preserve"> </w:t>
      </w:r>
    </w:p>
    <w:p w14:paraId="06CDBD0F" w14:textId="77777777" w:rsidR="00C32C64" w:rsidRPr="00203C85" w:rsidRDefault="00C32C64" w:rsidP="00C32C64">
      <w:pPr>
        <w:spacing w:line="360" w:lineRule="auto"/>
        <w:contextualSpacing/>
        <w:rPr>
          <w:rFonts w:ascii="Times New Roman" w:eastAsia="Cambria" w:hAnsi="Times New Roman"/>
          <w:sz w:val="28"/>
          <w:szCs w:val="28"/>
        </w:rPr>
      </w:pPr>
    </w:p>
    <w:p w14:paraId="1DDAAFA2" w14:textId="77777777" w:rsidR="00C32C64" w:rsidRPr="00203C85" w:rsidRDefault="00C32C64" w:rsidP="00C32C64">
      <w:pPr>
        <w:spacing w:line="360" w:lineRule="auto"/>
        <w:contextualSpacing/>
        <w:rPr>
          <w:rFonts w:ascii="Times New Roman" w:eastAsia="Cambria" w:hAnsi="Times New Roman"/>
          <w:sz w:val="28"/>
          <w:szCs w:val="28"/>
        </w:rPr>
      </w:pPr>
    </w:p>
    <w:p w14:paraId="6990A2C1" w14:textId="77777777" w:rsidR="00C32C64" w:rsidRPr="00203C85" w:rsidRDefault="00C32C64" w:rsidP="00C32C64">
      <w:pPr>
        <w:spacing w:line="360" w:lineRule="auto"/>
        <w:contextualSpacing/>
        <w:jc w:val="center"/>
        <w:rPr>
          <w:rFonts w:ascii="Times New Roman" w:eastAsia="Cambria" w:hAnsi="Times New Roman"/>
          <w:sz w:val="28"/>
          <w:szCs w:val="28"/>
        </w:rPr>
      </w:pPr>
      <w:r w:rsidRPr="00203C85">
        <w:rPr>
          <w:rFonts w:ascii="Times New Roman" w:eastAsia="Cambria" w:hAnsi="Times New Roman"/>
          <w:sz w:val="28"/>
          <w:szCs w:val="28"/>
        </w:rPr>
        <w:t xml:space="preserve">Présenté par la </w:t>
      </w:r>
      <w:proofErr w:type="spellStart"/>
      <w:r w:rsidRPr="00203C85">
        <w:rPr>
          <w:rFonts w:ascii="Times New Roman" w:eastAsia="Cambria" w:hAnsi="Times New Roman"/>
          <w:sz w:val="28"/>
          <w:szCs w:val="28"/>
        </w:rPr>
        <w:t>Rapporteure</w:t>
      </w:r>
      <w:proofErr w:type="spellEnd"/>
      <w:r w:rsidRPr="00203C85">
        <w:rPr>
          <w:rFonts w:ascii="Times New Roman" w:eastAsia="Cambria" w:hAnsi="Times New Roman"/>
          <w:sz w:val="28"/>
          <w:szCs w:val="28"/>
        </w:rPr>
        <w:t xml:space="preserve"> Asmaou BARRY</w:t>
      </w:r>
    </w:p>
    <w:p w14:paraId="6CC0BC33" w14:textId="77777777" w:rsidR="00C32C64" w:rsidRPr="00203C85" w:rsidRDefault="00C32C64" w:rsidP="00C32C64">
      <w:pPr>
        <w:spacing w:line="360" w:lineRule="auto"/>
        <w:contextualSpacing/>
        <w:jc w:val="center"/>
        <w:rPr>
          <w:rFonts w:ascii="Times New Roman" w:eastAsia="Cambria" w:hAnsi="Times New Roman"/>
          <w:sz w:val="28"/>
          <w:szCs w:val="28"/>
        </w:rPr>
      </w:pPr>
    </w:p>
    <w:p w14:paraId="3900D48F" w14:textId="77777777" w:rsidR="00C32C64" w:rsidRPr="00203C85" w:rsidRDefault="00C32C64" w:rsidP="00C32C64">
      <w:pPr>
        <w:spacing w:line="360" w:lineRule="auto"/>
        <w:contextualSpacing/>
        <w:jc w:val="center"/>
        <w:rPr>
          <w:rFonts w:ascii="Times New Roman" w:eastAsia="Cambria" w:hAnsi="Times New Roman"/>
          <w:sz w:val="28"/>
          <w:szCs w:val="28"/>
        </w:rPr>
      </w:pPr>
    </w:p>
    <w:p w14:paraId="6FE7384E" w14:textId="77777777" w:rsidR="00C32C64" w:rsidRPr="00203C85" w:rsidRDefault="00C32C64" w:rsidP="00C32C64">
      <w:pPr>
        <w:spacing w:line="360" w:lineRule="auto"/>
        <w:ind w:left="6372"/>
        <w:contextualSpacing/>
        <w:rPr>
          <w:rFonts w:ascii="Times New Roman" w:eastAsia="Cambria" w:hAnsi="Times New Roman"/>
          <w:b/>
          <w:bCs/>
          <w:sz w:val="28"/>
          <w:szCs w:val="28"/>
        </w:rPr>
      </w:pPr>
    </w:p>
    <w:p w14:paraId="1467F7AF" w14:textId="4DBED63A" w:rsidR="00C32C64" w:rsidRPr="00203C85" w:rsidRDefault="00C32C64" w:rsidP="00C32C64">
      <w:pPr>
        <w:spacing w:line="360" w:lineRule="auto"/>
        <w:contextualSpacing/>
        <w:jc w:val="right"/>
        <w:rPr>
          <w:rFonts w:ascii="Times New Roman" w:eastAsia="Cambria" w:hAnsi="Times New Roman"/>
          <w:b/>
          <w:bCs/>
          <w:sz w:val="28"/>
          <w:szCs w:val="28"/>
        </w:rPr>
      </w:pPr>
      <w:r w:rsidRPr="00203C85">
        <w:rPr>
          <w:rFonts w:ascii="Times New Roman" w:eastAsia="Cambria" w:hAnsi="Times New Roman"/>
          <w:b/>
          <w:bCs/>
          <w:sz w:val="28"/>
          <w:szCs w:val="28"/>
        </w:rPr>
        <w:t xml:space="preserve">                                                     </w:t>
      </w:r>
      <w:r w:rsidR="00E32603">
        <w:rPr>
          <w:rFonts w:ascii="Times New Roman" w:eastAsia="Cambria" w:hAnsi="Times New Roman"/>
          <w:b/>
          <w:bCs/>
          <w:sz w:val="28"/>
          <w:szCs w:val="28"/>
        </w:rPr>
        <w:t>Janvier</w:t>
      </w:r>
      <w:r w:rsidRPr="00203C85">
        <w:rPr>
          <w:rFonts w:ascii="Times New Roman" w:eastAsia="Cambria" w:hAnsi="Times New Roman"/>
          <w:b/>
          <w:bCs/>
          <w:sz w:val="28"/>
          <w:szCs w:val="28"/>
        </w:rPr>
        <w:t xml:space="preserve"> 202</w:t>
      </w:r>
      <w:r w:rsidR="00E32603">
        <w:rPr>
          <w:rFonts w:ascii="Times New Roman" w:eastAsia="Cambria" w:hAnsi="Times New Roman"/>
          <w:b/>
          <w:bCs/>
          <w:sz w:val="28"/>
          <w:szCs w:val="28"/>
        </w:rPr>
        <w:t>4</w:t>
      </w:r>
    </w:p>
    <w:bookmarkEnd w:id="0"/>
    <w:p w14:paraId="7395A50D" w14:textId="77777777" w:rsidR="00C32C64" w:rsidRPr="000015ED" w:rsidRDefault="00C32C64" w:rsidP="00C32C64">
      <w:pPr>
        <w:spacing w:line="360" w:lineRule="auto"/>
        <w:jc w:val="both"/>
        <w:rPr>
          <w:rFonts w:ascii="Times New Roman" w:eastAsia="Cambria" w:hAnsi="Times New Roman"/>
          <w:b/>
          <w:bCs/>
        </w:rPr>
      </w:pPr>
      <w:r w:rsidRPr="000015ED">
        <w:rPr>
          <w:rFonts w:ascii="Times New Roman" w:eastAsia="Cambria" w:hAnsi="Times New Roman"/>
          <w:b/>
          <w:bCs/>
        </w:rPr>
        <w:t>Honorable Président du Conseil National de la Transition ;</w:t>
      </w:r>
    </w:p>
    <w:p w14:paraId="4EE9D191" w14:textId="77777777" w:rsidR="00C32C64" w:rsidRDefault="00C32C64" w:rsidP="00C32C64">
      <w:pPr>
        <w:spacing w:line="360" w:lineRule="auto"/>
        <w:jc w:val="both"/>
        <w:rPr>
          <w:rFonts w:ascii="Times New Roman" w:eastAsia="Cambria" w:hAnsi="Times New Roman"/>
          <w:b/>
          <w:bCs/>
        </w:rPr>
      </w:pPr>
      <w:r w:rsidRPr="000015ED">
        <w:rPr>
          <w:rFonts w:ascii="Times New Roman" w:eastAsia="Cambria" w:hAnsi="Times New Roman"/>
          <w:b/>
          <w:bCs/>
        </w:rPr>
        <w:t>Honorables Conseillers Nationaux ;</w:t>
      </w:r>
    </w:p>
    <w:p w14:paraId="68AB7652" w14:textId="5CDC9F89" w:rsidR="00C60E68" w:rsidRPr="000015ED" w:rsidRDefault="00C60E68" w:rsidP="00C32C64">
      <w:pPr>
        <w:spacing w:line="360" w:lineRule="auto"/>
        <w:jc w:val="both"/>
        <w:rPr>
          <w:rFonts w:ascii="Times New Roman" w:eastAsia="Cambria" w:hAnsi="Times New Roman"/>
          <w:b/>
          <w:bCs/>
        </w:rPr>
      </w:pPr>
      <w:r>
        <w:rPr>
          <w:rFonts w:ascii="Times New Roman" w:eastAsia="Cambria" w:hAnsi="Times New Roman"/>
          <w:b/>
          <w:bCs/>
        </w:rPr>
        <w:t>Mesdames et messieurs les membres du gouvernement</w:t>
      </w:r>
    </w:p>
    <w:p w14:paraId="7B198C9A" w14:textId="77777777" w:rsidR="00C32C64" w:rsidRDefault="00C32C64" w:rsidP="00C32C64">
      <w:pPr>
        <w:spacing w:line="360" w:lineRule="auto"/>
        <w:jc w:val="both"/>
        <w:rPr>
          <w:rFonts w:ascii="Times New Roman" w:eastAsia="Cambria" w:hAnsi="Times New Roman"/>
          <w:b/>
          <w:bCs/>
        </w:rPr>
      </w:pPr>
      <w:r w:rsidRPr="000015ED">
        <w:rPr>
          <w:rFonts w:ascii="Times New Roman" w:eastAsia="Cambria" w:hAnsi="Times New Roman"/>
          <w:b/>
          <w:bCs/>
        </w:rPr>
        <w:t>Distingués invités ;</w:t>
      </w:r>
    </w:p>
    <w:p w14:paraId="57433AF6" w14:textId="0FAD35B8" w:rsidR="00C60E68" w:rsidRPr="000015ED" w:rsidRDefault="00C60E68" w:rsidP="00C32C64">
      <w:pPr>
        <w:spacing w:line="360" w:lineRule="auto"/>
        <w:jc w:val="both"/>
        <w:rPr>
          <w:rFonts w:ascii="Times New Roman" w:eastAsia="Cambria" w:hAnsi="Times New Roman"/>
          <w:b/>
          <w:bCs/>
        </w:rPr>
      </w:pPr>
      <w:r>
        <w:rPr>
          <w:rFonts w:ascii="Times New Roman" w:eastAsia="Cambria" w:hAnsi="Times New Roman"/>
          <w:b/>
          <w:bCs/>
        </w:rPr>
        <w:t>Tout protocole respectueusement observé</w:t>
      </w:r>
    </w:p>
    <w:p w14:paraId="1E33E37D" w14:textId="77777777" w:rsidR="00C32C64" w:rsidRPr="000015ED" w:rsidRDefault="00C32C64" w:rsidP="00C32C64">
      <w:pPr>
        <w:spacing w:after="240" w:line="360" w:lineRule="auto"/>
        <w:jc w:val="both"/>
        <w:rPr>
          <w:rFonts w:ascii="Times New Roman" w:eastAsia="Cambria" w:hAnsi="Times New Roman"/>
          <w:b/>
          <w:bCs/>
        </w:rPr>
      </w:pPr>
      <w:r w:rsidRPr="000015ED">
        <w:rPr>
          <w:rFonts w:ascii="Times New Roman" w:eastAsia="Cambria" w:hAnsi="Times New Roman"/>
          <w:b/>
          <w:bCs/>
        </w:rPr>
        <w:t>Mesdames et Messieurs</w:t>
      </w:r>
    </w:p>
    <w:p w14:paraId="47AAE97B" w14:textId="7FDC71E9" w:rsidR="00C32C64" w:rsidRPr="00BB4320" w:rsidRDefault="00C32C64" w:rsidP="00BB4320">
      <w:pPr>
        <w:spacing w:after="240" w:line="360" w:lineRule="auto"/>
        <w:jc w:val="both"/>
        <w:rPr>
          <w:rFonts w:ascii="Times New Roman" w:eastAsia="Cambria" w:hAnsi="Times New Roman"/>
        </w:rPr>
      </w:pPr>
      <w:r w:rsidRPr="00BB4320">
        <w:rPr>
          <w:rFonts w:ascii="Times New Roman" w:eastAsia="Cambria" w:hAnsi="Times New Roman"/>
        </w:rPr>
        <w:t>Pou</w:t>
      </w:r>
      <w:r w:rsidR="00B7562D" w:rsidRPr="00BB4320">
        <w:rPr>
          <w:rFonts w:ascii="Times New Roman" w:eastAsia="Cambria" w:hAnsi="Times New Roman"/>
        </w:rPr>
        <w:t>r</w:t>
      </w:r>
      <w:r w:rsidRPr="00BB4320">
        <w:rPr>
          <w:rFonts w:ascii="Times New Roman" w:eastAsia="Cambria" w:hAnsi="Times New Roman"/>
        </w:rPr>
        <w:t xml:space="preserve"> la </w:t>
      </w:r>
      <w:r w:rsidR="00B7562D" w:rsidRPr="00BB4320">
        <w:rPr>
          <w:rFonts w:ascii="Times New Roman" w:eastAsia="Cambria" w:hAnsi="Times New Roman"/>
        </w:rPr>
        <w:t>règlementation</w:t>
      </w:r>
      <w:r w:rsidRPr="00BB4320">
        <w:rPr>
          <w:rFonts w:ascii="Times New Roman" w:eastAsia="Cambria" w:hAnsi="Times New Roman"/>
        </w:rPr>
        <w:t xml:space="preserve"> du secteur de la publicité en Guinée, </w:t>
      </w:r>
      <w:r w:rsidR="0038299F" w:rsidRPr="00BB4320">
        <w:rPr>
          <w:rFonts w:ascii="Times New Roman" w:eastAsia="Cambria" w:hAnsi="Times New Roman"/>
        </w:rPr>
        <w:t>le Gouvernement a introduit, en vue de son adoption, un projet de loi au Conseil national de la Transition.  Le 10 Aout 2023</w:t>
      </w:r>
      <w:r w:rsidR="009252C3" w:rsidRPr="00BB4320">
        <w:rPr>
          <w:rFonts w:ascii="Times New Roman" w:eastAsia="Cambria" w:hAnsi="Times New Roman"/>
        </w:rPr>
        <w:t>,</w:t>
      </w:r>
      <w:r w:rsidR="0038299F" w:rsidRPr="00BB4320">
        <w:rPr>
          <w:rFonts w:ascii="Times New Roman" w:eastAsia="Cambria" w:hAnsi="Times New Roman"/>
        </w:rPr>
        <w:t xml:space="preserve"> la Conférence des présidents a saisi la Commission Réconciliation, Justice, Droits humains, Communication et Information dans le but d’</w:t>
      </w:r>
      <w:r w:rsidR="00C60E68" w:rsidRPr="00BB4320">
        <w:rPr>
          <w:rFonts w:ascii="Times New Roman" w:eastAsia="Cambria" w:hAnsi="Times New Roman"/>
        </w:rPr>
        <w:t>examin</w:t>
      </w:r>
      <w:r w:rsidR="00C60E68">
        <w:rPr>
          <w:rFonts w:ascii="Times New Roman" w:eastAsia="Cambria" w:hAnsi="Times New Roman"/>
        </w:rPr>
        <w:t>er</w:t>
      </w:r>
      <w:r w:rsidR="0038299F" w:rsidRPr="00BB4320">
        <w:rPr>
          <w:rFonts w:ascii="Times New Roman" w:eastAsia="Cambria" w:hAnsi="Times New Roman"/>
        </w:rPr>
        <w:t xml:space="preserve"> au fond </w:t>
      </w:r>
      <w:r w:rsidR="00737D33">
        <w:rPr>
          <w:rFonts w:ascii="Times New Roman" w:eastAsia="Cambria" w:hAnsi="Times New Roman"/>
        </w:rPr>
        <w:t>du</w:t>
      </w:r>
      <w:r w:rsidR="0038299F" w:rsidRPr="00BB4320">
        <w:rPr>
          <w:rFonts w:ascii="Times New Roman" w:eastAsia="Cambria" w:hAnsi="Times New Roman"/>
        </w:rPr>
        <w:t>dit projet de</w:t>
      </w:r>
      <w:bookmarkStart w:id="1" w:name="_Hlk112403265"/>
      <w:r w:rsidR="0038299F" w:rsidRPr="00BB4320">
        <w:rPr>
          <w:rFonts w:ascii="Times New Roman" w:eastAsia="Cambria" w:hAnsi="Times New Roman"/>
        </w:rPr>
        <w:t xml:space="preserve"> loi.</w:t>
      </w:r>
      <w:r w:rsidR="00C60E68">
        <w:rPr>
          <w:rFonts w:ascii="Times New Roman" w:eastAsia="Cambria" w:hAnsi="Times New Roman"/>
        </w:rPr>
        <w:t xml:space="preserve"> Ainsi, la Commission Constitution, lois organiques a été saisi comme commission d’avis ainsi que toutes les autres commissions permanentes à la suite d’une décision de la conférence des présidents.  </w:t>
      </w:r>
    </w:p>
    <w:bookmarkEnd w:id="1"/>
    <w:p w14:paraId="674C7DDB" w14:textId="63C62D28" w:rsidR="00C32C64" w:rsidRPr="00BB4320" w:rsidRDefault="00C32C64" w:rsidP="00BB4320">
      <w:pPr>
        <w:spacing w:after="240" w:line="360" w:lineRule="auto"/>
        <w:jc w:val="both"/>
        <w:rPr>
          <w:rFonts w:ascii="Times New Roman" w:eastAsia="Cambria" w:hAnsi="Times New Roman"/>
          <w:b/>
          <w:bCs/>
        </w:rPr>
      </w:pPr>
      <w:r w:rsidRPr="00BB4320">
        <w:rPr>
          <w:rFonts w:ascii="Times New Roman" w:eastAsia="Cambria" w:hAnsi="Times New Roman"/>
          <w:b/>
          <w:bCs/>
        </w:rPr>
        <w:t>Honorables Conseillers nationaux,</w:t>
      </w:r>
      <w:r w:rsidR="002E40CF" w:rsidRPr="00BB4320">
        <w:rPr>
          <w:rFonts w:ascii="Times New Roman" w:eastAsia="Cambria" w:hAnsi="Times New Roman"/>
          <w:b/>
          <w:bCs/>
        </w:rPr>
        <w:t xml:space="preserve"> </w:t>
      </w:r>
    </w:p>
    <w:p w14:paraId="6E382142" w14:textId="44715D4D" w:rsidR="009252C3" w:rsidRPr="00BB4320" w:rsidRDefault="00CF17A5" w:rsidP="00BB4320">
      <w:pPr>
        <w:spacing w:after="240" w:line="360" w:lineRule="auto"/>
        <w:jc w:val="both"/>
        <w:rPr>
          <w:rFonts w:ascii="Times New Roman" w:eastAsia="Cambria" w:hAnsi="Times New Roman"/>
        </w:rPr>
      </w:pPr>
      <w:r w:rsidRPr="00BB4320">
        <w:rPr>
          <w:rFonts w:ascii="Times New Roman" w:eastAsia="Cambria" w:hAnsi="Times New Roman"/>
        </w:rPr>
        <w:t xml:space="preserve">D’un constat général, le secteur de la publicité est marqué par un désordre du fait que la </w:t>
      </w:r>
      <w:r w:rsidR="009252C3" w:rsidRPr="00BB4320">
        <w:rPr>
          <w:rFonts w:ascii="Times New Roman" w:eastAsia="Cambria" w:hAnsi="Times New Roman"/>
        </w:rPr>
        <w:t xml:space="preserve">République de </w:t>
      </w:r>
      <w:r w:rsidRPr="00BB4320">
        <w:rPr>
          <w:rFonts w:ascii="Times New Roman" w:eastAsia="Cambria" w:hAnsi="Times New Roman"/>
        </w:rPr>
        <w:t>Guinée ne dispose pas d</w:t>
      </w:r>
      <w:r w:rsidR="00E32603" w:rsidRPr="00BB4320">
        <w:rPr>
          <w:rFonts w:ascii="Times New Roman" w:eastAsia="Cambria" w:hAnsi="Times New Roman"/>
        </w:rPr>
        <w:t>’</w:t>
      </w:r>
      <w:r w:rsidRPr="00BB4320">
        <w:rPr>
          <w:rFonts w:ascii="Times New Roman" w:eastAsia="Cambria" w:hAnsi="Times New Roman"/>
        </w:rPr>
        <w:t>un</w:t>
      </w:r>
      <w:r w:rsidR="009252C3" w:rsidRPr="00BB4320">
        <w:rPr>
          <w:rFonts w:ascii="Times New Roman" w:eastAsia="Cambria" w:hAnsi="Times New Roman"/>
        </w:rPr>
        <w:t xml:space="preserve"> cadre juridique adéquat</w:t>
      </w:r>
      <w:r w:rsidRPr="00BB4320">
        <w:rPr>
          <w:rFonts w:ascii="Times New Roman" w:eastAsia="Cambria" w:hAnsi="Times New Roman"/>
        </w:rPr>
        <w:t xml:space="preserve"> régissant</w:t>
      </w:r>
      <w:r w:rsidR="009252C3" w:rsidRPr="00BB4320">
        <w:rPr>
          <w:rFonts w:ascii="Times New Roman" w:eastAsia="Cambria" w:hAnsi="Times New Roman"/>
        </w:rPr>
        <w:t xml:space="preserve"> la matière</w:t>
      </w:r>
      <w:r w:rsidRPr="00BB4320">
        <w:rPr>
          <w:rFonts w:ascii="Times New Roman" w:eastAsia="Cambria" w:hAnsi="Times New Roman"/>
        </w:rPr>
        <w:t xml:space="preserve">. Seules </w:t>
      </w:r>
      <w:r w:rsidR="009252C3" w:rsidRPr="00BB4320">
        <w:rPr>
          <w:rFonts w:ascii="Times New Roman" w:eastAsia="Cambria" w:hAnsi="Times New Roman"/>
        </w:rPr>
        <w:t>quelques</w:t>
      </w:r>
      <w:r w:rsidRPr="00BB4320">
        <w:rPr>
          <w:rFonts w:ascii="Times New Roman" w:eastAsia="Cambria" w:hAnsi="Times New Roman"/>
        </w:rPr>
        <w:t xml:space="preserve"> dispositions</w:t>
      </w:r>
      <w:r w:rsidR="009252C3" w:rsidRPr="00BB4320">
        <w:rPr>
          <w:rFonts w:ascii="Times New Roman" w:eastAsia="Cambria" w:hAnsi="Times New Roman"/>
        </w:rPr>
        <w:t xml:space="preserve"> règlementaires encadrent le secteur à savoir :</w:t>
      </w:r>
    </w:p>
    <w:p w14:paraId="673EBE54" w14:textId="1146E8B8" w:rsidR="009252C3" w:rsidRPr="00BB4320" w:rsidRDefault="009252C3" w:rsidP="00BB4320">
      <w:pPr>
        <w:pStyle w:val="Paragraphedeliste"/>
        <w:numPr>
          <w:ilvl w:val="0"/>
          <w:numId w:val="17"/>
        </w:numPr>
        <w:spacing w:line="360" w:lineRule="auto"/>
        <w:jc w:val="both"/>
        <w:rPr>
          <w:rFonts w:ascii="Times New Roman" w:hAnsi="Times New Roman"/>
        </w:rPr>
      </w:pPr>
      <w:r w:rsidRPr="00BB4320">
        <w:rPr>
          <w:rFonts w:ascii="Times New Roman" w:hAnsi="Times New Roman"/>
        </w:rPr>
        <w:t xml:space="preserve">Le décret D/2016/355/PRG/SGG fixant les statuts de la société publique anonyme avec conseil d’administration dénommée </w:t>
      </w:r>
      <w:r w:rsidRPr="008F7C2C">
        <w:rPr>
          <w:rFonts w:ascii="Times New Roman" w:hAnsi="Times New Roman"/>
          <w:b/>
          <w:bCs/>
          <w:i/>
          <w:iCs/>
        </w:rPr>
        <w:t>« Office Guinéen de Publicité, OGP-SA »</w:t>
      </w:r>
      <w:r w:rsidRPr="00BB4320">
        <w:rPr>
          <w:rFonts w:ascii="Times New Roman" w:hAnsi="Times New Roman"/>
        </w:rPr>
        <w:t xml:space="preserve"> du 25 novembre 2016 ; </w:t>
      </w:r>
    </w:p>
    <w:p w14:paraId="6D1879E0" w14:textId="5CF918F5" w:rsidR="009252C3" w:rsidRPr="00BB4320" w:rsidRDefault="009252C3" w:rsidP="00BB4320">
      <w:pPr>
        <w:pStyle w:val="Paragraphedeliste"/>
        <w:numPr>
          <w:ilvl w:val="0"/>
          <w:numId w:val="17"/>
        </w:numPr>
        <w:spacing w:line="360" w:lineRule="auto"/>
        <w:jc w:val="both"/>
        <w:rPr>
          <w:rFonts w:ascii="Times New Roman" w:hAnsi="Times New Roman"/>
        </w:rPr>
      </w:pPr>
      <w:r w:rsidRPr="00BB4320">
        <w:rPr>
          <w:rFonts w:ascii="Times New Roman" w:hAnsi="Times New Roman"/>
        </w:rPr>
        <w:t>L’Arrêté Conjoint AC/2021/ 337/ MEF/MIC/MPTEN/SGG du 17 mars 2021, portant fixation des tarifs appliqués à la publicité électronique ;</w:t>
      </w:r>
    </w:p>
    <w:p w14:paraId="5F086CA7" w14:textId="513FF950" w:rsidR="009252C3" w:rsidRPr="00BB4320" w:rsidRDefault="009252C3" w:rsidP="00BB4320">
      <w:pPr>
        <w:pStyle w:val="Paragraphedeliste"/>
        <w:numPr>
          <w:ilvl w:val="0"/>
          <w:numId w:val="17"/>
        </w:numPr>
        <w:spacing w:line="360" w:lineRule="auto"/>
        <w:jc w:val="both"/>
        <w:rPr>
          <w:rFonts w:ascii="Times New Roman" w:hAnsi="Times New Roman"/>
        </w:rPr>
      </w:pPr>
      <w:r w:rsidRPr="00BB4320">
        <w:rPr>
          <w:rFonts w:ascii="Times New Roman" w:hAnsi="Times New Roman"/>
        </w:rPr>
        <w:t>L’Arrêté conjoint AC/2022/685/MIC/MEFP/CAB/SGG du 12 avril 2022, portant fixation des tarifs appliqués aux prestations et supports publicitaires en République de Guinée.</w:t>
      </w:r>
    </w:p>
    <w:p w14:paraId="3C6AC8D6" w14:textId="41BDF52F" w:rsidR="00CF17A5" w:rsidRDefault="002E26D1" w:rsidP="00BB4320">
      <w:pPr>
        <w:spacing w:before="240" w:after="240" w:line="360" w:lineRule="auto"/>
        <w:jc w:val="both"/>
        <w:rPr>
          <w:rFonts w:ascii="Times New Roman" w:eastAsia="Cambria" w:hAnsi="Times New Roman"/>
        </w:rPr>
      </w:pPr>
      <w:r w:rsidRPr="00C60E68">
        <w:rPr>
          <w:rFonts w:ascii="Times New Roman" w:eastAsia="Cambria" w:hAnsi="Times New Roman"/>
        </w:rPr>
        <w:t xml:space="preserve">Pourrait-on alors constater </w:t>
      </w:r>
      <w:r w:rsidRPr="00BB4320">
        <w:rPr>
          <w:rFonts w:ascii="Times New Roman" w:eastAsia="Cambria" w:hAnsi="Times New Roman"/>
        </w:rPr>
        <w:t>que la publicité s’exerce dans une certaine anarchie</w:t>
      </w:r>
      <w:r w:rsidR="00CF17A5" w:rsidRPr="00BB4320">
        <w:rPr>
          <w:rFonts w:ascii="Times New Roman" w:eastAsia="Cambria" w:hAnsi="Times New Roman"/>
        </w:rPr>
        <w:t>. L</w:t>
      </w:r>
      <w:r w:rsidR="009252C3" w:rsidRPr="00BB4320">
        <w:rPr>
          <w:rFonts w:ascii="Times New Roman" w:eastAsia="Cambria" w:hAnsi="Times New Roman"/>
        </w:rPr>
        <w:t xml:space="preserve">a </w:t>
      </w:r>
      <w:r w:rsidR="00CF17A5" w:rsidRPr="00BB4320">
        <w:rPr>
          <w:rFonts w:ascii="Times New Roman" w:eastAsia="Cambria" w:hAnsi="Times New Roman"/>
        </w:rPr>
        <w:t xml:space="preserve">régulation </w:t>
      </w:r>
      <w:r w:rsidR="009252C3" w:rsidRPr="00BB4320">
        <w:rPr>
          <w:rFonts w:ascii="Times New Roman" w:eastAsia="Cambria" w:hAnsi="Times New Roman"/>
        </w:rPr>
        <w:t xml:space="preserve">du secteur de la publicité </w:t>
      </w:r>
      <w:r w:rsidR="00CF17A5" w:rsidRPr="00BB4320">
        <w:rPr>
          <w:rFonts w:ascii="Times New Roman" w:eastAsia="Cambria" w:hAnsi="Times New Roman"/>
        </w:rPr>
        <w:t>est effectuée par une entité non adaptée</w:t>
      </w:r>
      <w:r w:rsidR="009252C3" w:rsidRPr="00BB4320">
        <w:rPr>
          <w:rFonts w:ascii="Times New Roman" w:eastAsia="Cambria" w:hAnsi="Times New Roman"/>
        </w:rPr>
        <w:t xml:space="preserve"> au contexte juridique actuel depuis l’adoption par le CNT de la loi portant sur les Autorités Administratives Indépendantes (AAI) le 13 </w:t>
      </w:r>
      <w:r w:rsidRPr="00BB4320">
        <w:rPr>
          <w:rFonts w:ascii="Times New Roman" w:eastAsia="Cambria" w:hAnsi="Times New Roman"/>
        </w:rPr>
        <w:t>m</w:t>
      </w:r>
      <w:r w:rsidR="009252C3" w:rsidRPr="00BB4320">
        <w:rPr>
          <w:rFonts w:ascii="Times New Roman" w:eastAsia="Cambria" w:hAnsi="Times New Roman"/>
        </w:rPr>
        <w:t>ars 2023</w:t>
      </w:r>
      <w:r w:rsidR="00C60E68">
        <w:rPr>
          <w:rFonts w:ascii="Times New Roman" w:eastAsia="Cambria" w:hAnsi="Times New Roman"/>
        </w:rPr>
        <w:t xml:space="preserve"> un nouvel horizon s’impose</w:t>
      </w:r>
      <w:r w:rsidR="009252C3" w:rsidRPr="00BB4320">
        <w:rPr>
          <w:rFonts w:ascii="Times New Roman" w:eastAsia="Cambria" w:hAnsi="Times New Roman"/>
        </w:rPr>
        <w:t>.</w:t>
      </w:r>
      <w:r w:rsidR="00CF17A5" w:rsidRPr="00BB4320">
        <w:rPr>
          <w:rFonts w:ascii="Times New Roman" w:eastAsia="Cambria" w:hAnsi="Times New Roman"/>
        </w:rPr>
        <w:t xml:space="preserve"> Ces lacunes </w:t>
      </w:r>
      <w:r w:rsidRPr="00BB4320">
        <w:rPr>
          <w:rFonts w:ascii="Times New Roman" w:eastAsia="Cambria" w:hAnsi="Times New Roman"/>
        </w:rPr>
        <w:t>entra</w:t>
      </w:r>
      <w:r w:rsidR="00737D33">
        <w:rPr>
          <w:rFonts w:ascii="Times New Roman" w:eastAsia="Cambria" w:hAnsi="Times New Roman"/>
        </w:rPr>
        <w:t>î</w:t>
      </w:r>
      <w:r w:rsidRPr="00BB4320">
        <w:rPr>
          <w:rFonts w:ascii="Times New Roman" w:eastAsia="Cambria" w:hAnsi="Times New Roman"/>
        </w:rPr>
        <w:t xml:space="preserve">nent une cacophonie </w:t>
      </w:r>
      <w:r w:rsidR="00CF17A5" w:rsidRPr="00BB4320">
        <w:rPr>
          <w:rFonts w:ascii="Times New Roman" w:eastAsia="Cambria" w:hAnsi="Times New Roman"/>
        </w:rPr>
        <w:t>dans l</w:t>
      </w:r>
      <w:r w:rsidRPr="00BB4320">
        <w:rPr>
          <w:rFonts w:ascii="Times New Roman" w:eastAsia="Cambria" w:hAnsi="Times New Roman"/>
        </w:rPr>
        <w:t>e secteur de la publicité et</w:t>
      </w:r>
      <w:r w:rsidR="00CF17A5" w:rsidRPr="00BB4320">
        <w:rPr>
          <w:rFonts w:ascii="Times New Roman" w:eastAsia="Cambria" w:hAnsi="Times New Roman"/>
        </w:rPr>
        <w:t xml:space="preserve"> entrainent un manque à gagner pour l</w:t>
      </w:r>
      <w:r w:rsidR="00E32603" w:rsidRPr="00BB4320">
        <w:rPr>
          <w:rFonts w:ascii="Times New Roman" w:eastAsia="Cambria" w:hAnsi="Times New Roman"/>
        </w:rPr>
        <w:t>’</w:t>
      </w:r>
      <w:r w:rsidR="00CF17A5" w:rsidRPr="00BB4320">
        <w:rPr>
          <w:rFonts w:ascii="Times New Roman" w:eastAsia="Cambria" w:hAnsi="Times New Roman"/>
        </w:rPr>
        <w:t xml:space="preserve">économie nationale. </w:t>
      </w:r>
      <w:r w:rsidRPr="00BB4320">
        <w:rPr>
          <w:rFonts w:ascii="Times New Roman" w:eastAsia="Cambria" w:hAnsi="Times New Roman"/>
        </w:rPr>
        <w:t xml:space="preserve">On peut alors comprendre l’exigence </w:t>
      </w:r>
      <w:r w:rsidR="00CF17A5" w:rsidRPr="00BB4320">
        <w:rPr>
          <w:rFonts w:ascii="Times New Roman" w:eastAsia="Cambria" w:hAnsi="Times New Roman"/>
        </w:rPr>
        <w:t>de mettre en place une législation appropriée pour encadrer ce secteur,</w:t>
      </w:r>
      <w:r w:rsidRPr="00BB4320">
        <w:rPr>
          <w:rFonts w:ascii="Times New Roman" w:eastAsia="Cambria" w:hAnsi="Times New Roman"/>
        </w:rPr>
        <w:t xml:space="preserve"> afin de</w:t>
      </w:r>
      <w:r w:rsidR="00CF17A5" w:rsidRPr="00BB4320">
        <w:rPr>
          <w:rFonts w:ascii="Times New Roman" w:eastAsia="Cambria" w:hAnsi="Times New Roman"/>
        </w:rPr>
        <w:t xml:space="preserve"> stimuler son développement et favoriser sa contribution à l'économie nationale.</w:t>
      </w:r>
    </w:p>
    <w:p w14:paraId="142A9E5B" w14:textId="7AAA4089" w:rsidR="00C32C64" w:rsidRPr="00BB4320" w:rsidRDefault="00C32C64" w:rsidP="00BB4320">
      <w:pPr>
        <w:spacing w:line="360" w:lineRule="auto"/>
        <w:jc w:val="both"/>
        <w:rPr>
          <w:rFonts w:ascii="Times New Roman" w:eastAsia="Cambria" w:hAnsi="Times New Roman"/>
          <w:b/>
          <w:bCs/>
        </w:rPr>
      </w:pPr>
      <w:r w:rsidRPr="00BB4320">
        <w:rPr>
          <w:rFonts w:ascii="Times New Roman" w:eastAsia="Cambria" w:hAnsi="Times New Roman"/>
          <w:b/>
          <w:bCs/>
        </w:rPr>
        <w:t>Honorables Conseillers nationaux,</w:t>
      </w:r>
    </w:p>
    <w:p w14:paraId="521A2B9B" w14:textId="125B8FE3" w:rsidR="00CF17A5" w:rsidRPr="00BB4320" w:rsidRDefault="00C32C64" w:rsidP="00BB4320">
      <w:pPr>
        <w:spacing w:line="360" w:lineRule="auto"/>
        <w:jc w:val="both"/>
        <w:rPr>
          <w:rFonts w:ascii="Times New Roman" w:eastAsia="Cambria" w:hAnsi="Times New Roman"/>
        </w:rPr>
      </w:pPr>
      <w:r w:rsidRPr="00BB4320">
        <w:rPr>
          <w:rFonts w:ascii="Times New Roman" w:eastAsia="Cambria" w:hAnsi="Times New Roman"/>
        </w:rPr>
        <w:t xml:space="preserve">Ce projet de loi, </w:t>
      </w:r>
      <w:r w:rsidR="005B468D" w:rsidRPr="00BB4320">
        <w:rPr>
          <w:rFonts w:ascii="Times New Roman" w:eastAsia="Cambria" w:hAnsi="Times New Roman"/>
        </w:rPr>
        <w:t xml:space="preserve">à sa soumission </w:t>
      </w:r>
      <w:r w:rsidR="008B2EEF" w:rsidRPr="00BB4320">
        <w:rPr>
          <w:rFonts w:ascii="Times New Roman" w:eastAsia="Cambria" w:hAnsi="Times New Roman"/>
        </w:rPr>
        <w:t xml:space="preserve">était </w:t>
      </w:r>
      <w:r w:rsidR="00CF17A5" w:rsidRPr="00BB4320">
        <w:rPr>
          <w:rFonts w:ascii="Times New Roman" w:eastAsia="Cambria" w:hAnsi="Times New Roman"/>
        </w:rPr>
        <w:t>structur</w:t>
      </w:r>
      <w:r w:rsidR="008B2EEF" w:rsidRPr="00BB4320">
        <w:rPr>
          <w:rFonts w:ascii="Times New Roman" w:eastAsia="Cambria" w:hAnsi="Times New Roman"/>
        </w:rPr>
        <w:t xml:space="preserve">é autour de quatre titres, six chapitres et </w:t>
      </w:r>
      <w:r w:rsidR="00CF17A5" w:rsidRPr="00BB4320">
        <w:rPr>
          <w:rFonts w:ascii="Times New Roman" w:eastAsia="Cambria" w:hAnsi="Times New Roman"/>
        </w:rPr>
        <w:t>cent vingt-sept</w:t>
      </w:r>
      <w:r w:rsidR="00BF6623" w:rsidRPr="00BB4320">
        <w:rPr>
          <w:rFonts w:ascii="Times New Roman" w:eastAsia="Cambria" w:hAnsi="Times New Roman"/>
        </w:rPr>
        <w:t xml:space="preserve"> articles</w:t>
      </w:r>
      <w:r w:rsidR="008B2EEF" w:rsidRPr="00BB4320">
        <w:rPr>
          <w:rFonts w:ascii="Times New Roman" w:eastAsia="Cambria" w:hAnsi="Times New Roman"/>
        </w:rPr>
        <w:t>.</w:t>
      </w:r>
    </w:p>
    <w:p w14:paraId="14AD9487" w14:textId="77777777" w:rsidR="009252C3" w:rsidRPr="00BB4320" w:rsidRDefault="008B2EEF" w:rsidP="00BB4320">
      <w:pPr>
        <w:spacing w:after="240" w:line="360" w:lineRule="auto"/>
        <w:jc w:val="both"/>
        <w:rPr>
          <w:rFonts w:ascii="Times New Roman" w:eastAsia="Cambria" w:hAnsi="Times New Roman"/>
        </w:rPr>
      </w:pPr>
      <w:r w:rsidRPr="00BB4320">
        <w:rPr>
          <w:rFonts w:ascii="Times New Roman" w:eastAsia="Cambria" w:hAnsi="Times New Roman"/>
        </w:rPr>
        <w:t>Après examen du texte, des amendements ont été apporté</w:t>
      </w:r>
      <w:r w:rsidR="009252C3" w:rsidRPr="00BB4320">
        <w:rPr>
          <w:rFonts w:ascii="Times New Roman" w:eastAsia="Cambria" w:hAnsi="Times New Roman"/>
        </w:rPr>
        <w:t>s</w:t>
      </w:r>
      <w:r w:rsidRPr="00BB4320">
        <w:rPr>
          <w:rFonts w:ascii="Times New Roman" w:eastAsia="Cambria" w:hAnsi="Times New Roman"/>
        </w:rPr>
        <w:t xml:space="preserve"> tant dans la forme</w:t>
      </w:r>
      <w:r w:rsidR="009252C3" w:rsidRPr="00BB4320">
        <w:rPr>
          <w:rFonts w:ascii="Times New Roman" w:eastAsia="Cambria" w:hAnsi="Times New Roman"/>
        </w:rPr>
        <w:t xml:space="preserve">, </w:t>
      </w:r>
      <w:r w:rsidRPr="00BB4320">
        <w:rPr>
          <w:rFonts w:ascii="Times New Roman" w:eastAsia="Cambria" w:hAnsi="Times New Roman"/>
        </w:rPr>
        <w:t xml:space="preserve">que dans le fond. </w:t>
      </w:r>
    </w:p>
    <w:p w14:paraId="0B4EFF5F" w14:textId="109F9C61" w:rsidR="008B2EEF" w:rsidRDefault="008B2EEF" w:rsidP="00BB4320">
      <w:pPr>
        <w:spacing w:after="240" w:line="360" w:lineRule="auto"/>
        <w:jc w:val="both"/>
        <w:rPr>
          <w:rFonts w:ascii="Times New Roman" w:eastAsia="Cambria" w:hAnsi="Times New Roman"/>
        </w:rPr>
      </w:pPr>
      <w:r w:rsidRPr="00BB4320">
        <w:rPr>
          <w:rFonts w:ascii="Times New Roman" w:eastAsia="Cambria" w:hAnsi="Times New Roman"/>
        </w:rPr>
        <w:t xml:space="preserve">Ainsi le texte contient désormais sept chapitres </w:t>
      </w:r>
      <w:r w:rsidR="00C60E68">
        <w:rPr>
          <w:rFonts w:ascii="Times New Roman" w:eastAsia="Cambria" w:hAnsi="Times New Roman"/>
        </w:rPr>
        <w:t xml:space="preserve">et 92 </w:t>
      </w:r>
      <w:r w:rsidRPr="00C60E68">
        <w:rPr>
          <w:rFonts w:ascii="Times New Roman" w:eastAsia="Cambria" w:hAnsi="Times New Roman"/>
        </w:rPr>
        <w:t>articles</w:t>
      </w:r>
      <w:r w:rsidRPr="00BB4320">
        <w:rPr>
          <w:rFonts w:ascii="Times New Roman" w:eastAsia="Cambria" w:hAnsi="Times New Roman"/>
        </w:rPr>
        <w:t xml:space="preserve">. Le nombre de titre </w:t>
      </w:r>
      <w:r w:rsidR="00BF6623" w:rsidRPr="00BB4320">
        <w:rPr>
          <w:rFonts w:ascii="Times New Roman" w:eastAsia="Cambria" w:hAnsi="Times New Roman"/>
        </w:rPr>
        <w:t xml:space="preserve">n’a pas </w:t>
      </w:r>
      <w:r w:rsidRPr="00BB4320">
        <w:rPr>
          <w:rFonts w:ascii="Times New Roman" w:eastAsia="Cambria" w:hAnsi="Times New Roman"/>
        </w:rPr>
        <w:t>changé.</w:t>
      </w:r>
    </w:p>
    <w:p w14:paraId="1FD12E3C" w14:textId="250D0877" w:rsidR="00E97506" w:rsidRPr="00BB4320" w:rsidRDefault="00E97506" w:rsidP="00BB4320">
      <w:pPr>
        <w:spacing w:after="240" w:line="360" w:lineRule="auto"/>
        <w:jc w:val="both"/>
        <w:rPr>
          <w:rFonts w:ascii="Times New Roman" w:eastAsia="Cambria" w:hAnsi="Times New Roman"/>
        </w:rPr>
      </w:pPr>
      <w:r>
        <w:rPr>
          <w:rFonts w:ascii="Times New Roman" w:eastAsia="Cambria" w:hAnsi="Times New Roman"/>
        </w:rPr>
        <w:t>La nouvelle structure du projet de loi se décline comme suit :</w:t>
      </w:r>
    </w:p>
    <w:p w14:paraId="0867AEC3" w14:textId="661B172E" w:rsidR="009252C3" w:rsidRPr="00BB4320" w:rsidRDefault="009252C3" w:rsidP="00BB4320">
      <w:pPr>
        <w:spacing w:line="360" w:lineRule="auto"/>
        <w:jc w:val="both"/>
        <w:rPr>
          <w:rFonts w:ascii="Times New Roman" w:eastAsia="Cambria" w:hAnsi="Times New Roman"/>
        </w:rPr>
      </w:pPr>
      <w:r w:rsidRPr="00BB4320">
        <w:rPr>
          <w:rFonts w:ascii="Times New Roman" w:eastAsia="Cambria" w:hAnsi="Times New Roman"/>
        </w:rPr>
        <w:t xml:space="preserve">Titre I : Des dispositions </w:t>
      </w:r>
      <w:r w:rsidR="00E97506" w:rsidRPr="00BB4320">
        <w:rPr>
          <w:rFonts w:ascii="Times New Roman" w:eastAsia="Cambria" w:hAnsi="Times New Roman"/>
        </w:rPr>
        <w:t>générales :</w:t>
      </w:r>
    </w:p>
    <w:p w14:paraId="7D5F85FD" w14:textId="780B57CB" w:rsidR="009252C3" w:rsidRPr="00BB4320" w:rsidRDefault="009252C3" w:rsidP="00BB4320">
      <w:pPr>
        <w:pStyle w:val="Paragraphedeliste"/>
        <w:numPr>
          <w:ilvl w:val="0"/>
          <w:numId w:val="18"/>
        </w:numPr>
        <w:spacing w:after="240" w:line="360" w:lineRule="auto"/>
        <w:jc w:val="both"/>
        <w:rPr>
          <w:rFonts w:ascii="Times New Roman" w:eastAsia="Cambria" w:hAnsi="Times New Roman"/>
        </w:rPr>
      </w:pPr>
      <w:r w:rsidRPr="00BB4320">
        <w:rPr>
          <w:rFonts w:ascii="Times New Roman" w:eastAsia="Cambria" w:hAnsi="Times New Roman"/>
        </w:rPr>
        <w:t>Chapitre 1 : de l’objet et du champ d’application ;</w:t>
      </w:r>
    </w:p>
    <w:p w14:paraId="766879AC" w14:textId="527C9B60" w:rsidR="009252C3" w:rsidRPr="00BB4320" w:rsidRDefault="009252C3" w:rsidP="00BB4320">
      <w:pPr>
        <w:pStyle w:val="Paragraphedeliste"/>
        <w:numPr>
          <w:ilvl w:val="0"/>
          <w:numId w:val="18"/>
        </w:numPr>
        <w:spacing w:after="240" w:line="360" w:lineRule="auto"/>
        <w:jc w:val="both"/>
        <w:rPr>
          <w:rFonts w:ascii="Times New Roman" w:eastAsia="Cambria" w:hAnsi="Times New Roman"/>
        </w:rPr>
      </w:pPr>
      <w:r w:rsidRPr="00BB4320">
        <w:rPr>
          <w:rFonts w:ascii="Times New Roman" w:eastAsia="Cambria" w:hAnsi="Times New Roman"/>
        </w:rPr>
        <w:t>Chapitre 2 : des définitions</w:t>
      </w:r>
    </w:p>
    <w:p w14:paraId="66F7749D" w14:textId="2F1EF88F" w:rsidR="009252C3" w:rsidRPr="00BB4320" w:rsidRDefault="009252C3" w:rsidP="00BB4320">
      <w:pPr>
        <w:spacing w:line="360" w:lineRule="auto"/>
        <w:jc w:val="both"/>
        <w:rPr>
          <w:rFonts w:ascii="Times New Roman" w:eastAsia="Cambria" w:hAnsi="Times New Roman"/>
        </w:rPr>
      </w:pPr>
      <w:r w:rsidRPr="00BB4320">
        <w:rPr>
          <w:rFonts w:ascii="Times New Roman" w:eastAsia="Cambria" w:hAnsi="Times New Roman"/>
        </w:rPr>
        <w:t>Titre II : De l’activité publicitaire :</w:t>
      </w:r>
    </w:p>
    <w:p w14:paraId="50248792" w14:textId="74821688" w:rsidR="009252C3" w:rsidRPr="00BB4320" w:rsidRDefault="009252C3" w:rsidP="00BB4320">
      <w:pPr>
        <w:pStyle w:val="Paragraphedeliste"/>
        <w:numPr>
          <w:ilvl w:val="0"/>
          <w:numId w:val="19"/>
        </w:numPr>
        <w:spacing w:after="240" w:line="360" w:lineRule="auto"/>
        <w:jc w:val="both"/>
        <w:rPr>
          <w:rFonts w:ascii="Times New Roman" w:eastAsia="Cambria" w:hAnsi="Times New Roman"/>
        </w:rPr>
      </w:pPr>
      <w:r w:rsidRPr="00BB4320">
        <w:rPr>
          <w:rFonts w:ascii="Times New Roman" w:eastAsia="Cambria" w:hAnsi="Times New Roman"/>
        </w:rPr>
        <w:t>Chapitre 1 : de l’activité publicitaire</w:t>
      </w:r>
    </w:p>
    <w:p w14:paraId="3D1EFB94" w14:textId="2F3D992D" w:rsidR="009252C3" w:rsidRPr="00BB4320" w:rsidRDefault="009252C3" w:rsidP="00BB4320">
      <w:pPr>
        <w:pStyle w:val="Paragraphedeliste"/>
        <w:numPr>
          <w:ilvl w:val="0"/>
          <w:numId w:val="19"/>
        </w:numPr>
        <w:spacing w:after="240" w:line="360" w:lineRule="auto"/>
        <w:jc w:val="both"/>
        <w:rPr>
          <w:rFonts w:ascii="Times New Roman" w:eastAsia="Cambria" w:hAnsi="Times New Roman"/>
        </w:rPr>
      </w:pPr>
      <w:r w:rsidRPr="00BB4320">
        <w:rPr>
          <w:rFonts w:ascii="Times New Roman" w:eastAsia="Cambria" w:hAnsi="Times New Roman"/>
        </w:rPr>
        <w:t>Chapitre 2 : des supports et messages publicitaires.</w:t>
      </w:r>
    </w:p>
    <w:p w14:paraId="188AFDC9" w14:textId="3D74B41A" w:rsidR="009252C3" w:rsidRPr="00BB4320" w:rsidRDefault="009252C3" w:rsidP="00BB4320">
      <w:pPr>
        <w:pStyle w:val="Paragraphedeliste"/>
        <w:numPr>
          <w:ilvl w:val="0"/>
          <w:numId w:val="19"/>
        </w:numPr>
        <w:spacing w:after="240" w:line="360" w:lineRule="auto"/>
        <w:jc w:val="both"/>
        <w:rPr>
          <w:rFonts w:ascii="Times New Roman" w:eastAsia="Cambria" w:hAnsi="Times New Roman"/>
        </w:rPr>
      </w:pPr>
      <w:r w:rsidRPr="00BB4320">
        <w:rPr>
          <w:rFonts w:ascii="Times New Roman" w:eastAsia="Cambria" w:hAnsi="Times New Roman"/>
        </w:rPr>
        <w:t>Chapitre 3 : du parrainage, sponsoring, mécénat, téléachat, publireportage et du sponsoring d’émission.</w:t>
      </w:r>
    </w:p>
    <w:p w14:paraId="5C16866F" w14:textId="370F21E0" w:rsidR="009252C3" w:rsidRPr="00BB4320" w:rsidRDefault="009252C3" w:rsidP="00BB4320">
      <w:pPr>
        <w:spacing w:line="360" w:lineRule="auto"/>
        <w:jc w:val="both"/>
        <w:rPr>
          <w:rFonts w:ascii="Times New Roman" w:eastAsia="Cambria" w:hAnsi="Times New Roman"/>
        </w:rPr>
      </w:pPr>
      <w:r w:rsidRPr="00BB4320">
        <w:rPr>
          <w:rFonts w:ascii="Times New Roman" w:eastAsia="Cambria" w:hAnsi="Times New Roman"/>
        </w:rPr>
        <w:t>Titre III : Du régime des infractions et de leur répression</w:t>
      </w:r>
      <w:r w:rsidR="00E97506">
        <w:rPr>
          <w:rFonts w:ascii="Times New Roman" w:eastAsia="Cambria" w:hAnsi="Times New Roman"/>
        </w:rPr>
        <w:t> </w:t>
      </w:r>
      <w:r w:rsidRPr="00BB4320">
        <w:rPr>
          <w:rFonts w:ascii="Times New Roman" w:eastAsia="Cambria" w:hAnsi="Times New Roman"/>
        </w:rPr>
        <w:t>:</w:t>
      </w:r>
    </w:p>
    <w:p w14:paraId="19C98713" w14:textId="77777777" w:rsidR="009252C3" w:rsidRPr="00BB4320" w:rsidRDefault="009252C3" w:rsidP="00BB4320">
      <w:pPr>
        <w:pStyle w:val="Paragraphedeliste"/>
        <w:numPr>
          <w:ilvl w:val="0"/>
          <w:numId w:val="20"/>
        </w:numPr>
        <w:spacing w:after="240" w:line="360" w:lineRule="auto"/>
        <w:jc w:val="both"/>
        <w:rPr>
          <w:rFonts w:ascii="Times New Roman" w:eastAsia="Cambria" w:hAnsi="Times New Roman"/>
        </w:rPr>
      </w:pPr>
      <w:r w:rsidRPr="00BB4320">
        <w:rPr>
          <w:rFonts w:ascii="Times New Roman" w:eastAsia="Cambria" w:hAnsi="Times New Roman"/>
        </w:rPr>
        <w:t>Chapitre 1 : des infractions ;</w:t>
      </w:r>
    </w:p>
    <w:p w14:paraId="0554B902" w14:textId="54F7E6DF" w:rsidR="009252C3" w:rsidRPr="00BB4320" w:rsidRDefault="009252C3" w:rsidP="00BB4320">
      <w:pPr>
        <w:pStyle w:val="Paragraphedeliste"/>
        <w:numPr>
          <w:ilvl w:val="0"/>
          <w:numId w:val="20"/>
        </w:numPr>
        <w:spacing w:after="240" w:line="360" w:lineRule="auto"/>
        <w:jc w:val="both"/>
        <w:rPr>
          <w:rFonts w:ascii="Times New Roman" w:eastAsia="Cambria" w:hAnsi="Times New Roman"/>
        </w:rPr>
      </w:pPr>
      <w:r w:rsidRPr="00BB4320">
        <w:rPr>
          <w:rFonts w:ascii="Times New Roman" w:eastAsia="Cambria" w:hAnsi="Times New Roman"/>
        </w:rPr>
        <w:t>Chapitre 2 : de la répression</w:t>
      </w:r>
    </w:p>
    <w:p w14:paraId="60A7FEF7" w14:textId="5B460F8F" w:rsidR="00E97506" w:rsidRDefault="009252C3" w:rsidP="00E97506">
      <w:pPr>
        <w:spacing w:line="360" w:lineRule="auto"/>
        <w:jc w:val="both"/>
        <w:rPr>
          <w:rFonts w:ascii="Times New Roman" w:eastAsia="Cambria" w:hAnsi="Times New Roman"/>
        </w:rPr>
      </w:pPr>
      <w:r w:rsidRPr="00BB4320">
        <w:rPr>
          <w:rFonts w:ascii="Times New Roman" w:eastAsia="Cambria" w:hAnsi="Times New Roman"/>
        </w:rPr>
        <w:t xml:space="preserve"> Titre IV : Des dispositions transitoires et finales</w:t>
      </w:r>
      <w:r w:rsidR="00E97506">
        <w:rPr>
          <w:rFonts w:ascii="Times New Roman" w:eastAsia="Cambria" w:hAnsi="Times New Roman"/>
        </w:rPr>
        <w:t> :</w:t>
      </w:r>
    </w:p>
    <w:p w14:paraId="57CF83A5" w14:textId="4584FDF9" w:rsidR="009252C3" w:rsidRPr="00BB4320" w:rsidRDefault="00E97506" w:rsidP="00E97506">
      <w:pPr>
        <w:spacing w:after="240" w:line="360" w:lineRule="auto"/>
        <w:ind w:left="708"/>
        <w:jc w:val="both"/>
        <w:rPr>
          <w:rFonts w:ascii="Times New Roman" w:eastAsia="Cambria" w:hAnsi="Times New Roman"/>
        </w:rPr>
      </w:pPr>
      <w:r>
        <w:rPr>
          <w:rFonts w:ascii="Times New Roman" w:eastAsia="Cambria" w:hAnsi="Times New Roman"/>
        </w:rPr>
        <w:t xml:space="preserve">En un chapitre unique ce titre </w:t>
      </w:r>
      <w:r w:rsidR="009252C3" w:rsidRPr="00BB4320">
        <w:rPr>
          <w:rFonts w:ascii="Times New Roman" w:eastAsia="Cambria" w:hAnsi="Times New Roman"/>
        </w:rPr>
        <w:t xml:space="preserve">traite </w:t>
      </w:r>
      <w:r w:rsidR="00C31582" w:rsidRPr="00BB4320">
        <w:rPr>
          <w:rFonts w:ascii="Times New Roman" w:eastAsia="Cambria" w:hAnsi="Times New Roman"/>
        </w:rPr>
        <w:t xml:space="preserve">de la </w:t>
      </w:r>
      <w:r w:rsidR="00BF6623" w:rsidRPr="00BB4320">
        <w:rPr>
          <w:rFonts w:ascii="Times New Roman" w:eastAsia="Cambria" w:hAnsi="Times New Roman"/>
        </w:rPr>
        <w:t xml:space="preserve">mise en </w:t>
      </w:r>
      <w:r w:rsidR="00C31582" w:rsidRPr="00BB4320">
        <w:rPr>
          <w:rFonts w:ascii="Times New Roman" w:eastAsia="Cambria" w:hAnsi="Times New Roman"/>
        </w:rPr>
        <w:t xml:space="preserve">conformité, de l’organe de régulation et de l’entrée en vigueur de la </w:t>
      </w:r>
      <w:r w:rsidR="00BF6623" w:rsidRPr="00BB4320">
        <w:rPr>
          <w:rFonts w:ascii="Times New Roman" w:eastAsia="Cambria" w:hAnsi="Times New Roman"/>
        </w:rPr>
        <w:t>L</w:t>
      </w:r>
      <w:r w:rsidR="00C31582" w:rsidRPr="00BB4320">
        <w:rPr>
          <w:rFonts w:ascii="Times New Roman" w:eastAsia="Cambria" w:hAnsi="Times New Roman"/>
        </w:rPr>
        <w:t>oi.</w:t>
      </w:r>
    </w:p>
    <w:p w14:paraId="472A475D" w14:textId="69E867CF" w:rsidR="00187DAC" w:rsidRPr="00BB4320" w:rsidRDefault="00AD05B0" w:rsidP="00BB4320">
      <w:pPr>
        <w:spacing w:after="240" w:line="360" w:lineRule="auto"/>
        <w:jc w:val="both"/>
        <w:rPr>
          <w:rFonts w:ascii="Times New Roman" w:eastAsia="Cambria" w:hAnsi="Times New Roman"/>
        </w:rPr>
      </w:pPr>
      <w:r w:rsidRPr="00BB4320">
        <w:rPr>
          <w:rFonts w:ascii="Times New Roman" w:eastAsia="Cambria" w:hAnsi="Times New Roman"/>
        </w:rPr>
        <w:t xml:space="preserve">Le présent rapport s’articule </w:t>
      </w:r>
      <w:r w:rsidR="001F32C2" w:rsidRPr="00BB4320">
        <w:rPr>
          <w:rFonts w:ascii="Times New Roman" w:eastAsia="Cambria" w:hAnsi="Times New Roman"/>
        </w:rPr>
        <w:t>autour des amendements apportés</w:t>
      </w:r>
      <w:r w:rsidR="00EE5CD6" w:rsidRPr="00BB4320">
        <w:rPr>
          <w:rFonts w:ascii="Times New Roman" w:eastAsia="Cambria" w:hAnsi="Times New Roman"/>
        </w:rPr>
        <w:t xml:space="preserve"> par le CNT </w:t>
      </w:r>
      <w:r w:rsidRPr="00BB4320">
        <w:rPr>
          <w:rFonts w:ascii="Times New Roman" w:eastAsia="Cambria" w:hAnsi="Times New Roman"/>
        </w:rPr>
        <w:t>dans le fond et</w:t>
      </w:r>
      <w:r w:rsidR="00EE5CD6" w:rsidRPr="00BB4320">
        <w:rPr>
          <w:rFonts w:ascii="Times New Roman" w:eastAsia="Cambria" w:hAnsi="Times New Roman"/>
        </w:rPr>
        <w:t xml:space="preserve"> dans</w:t>
      </w:r>
      <w:r w:rsidRPr="00BB4320">
        <w:rPr>
          <w:rFonts w:ascii="Times New Roman" w:eastAsia="Cambria" w:hAnsi="Times New Roman"/>
        </w:rPr>
        <w:t xml:space="preserve"> la forme, les interrogations et observations </w:t>
      </w:r>
      <w:r w:rsidR="00BF6623" w:rsidRPr="00BB4320">
        <w:rPr>
          <w:rFonts w:ascii="Times New Roman" w:eastAsia="Cambria" w:hAnsi="Times New Roman"/>
        </w:rPr>
        <w:t>exprimées par l</w:t>
      </w:r>
      <w:r w:rsidR="00EE5CD6" w:rsidRPr="00BB4320">
        <w:rPr>
          <w:rFonts w:ascii="Times New Roman" w:eastAsia="Cambria" w:hAnsi="Times New Roman"/>
        </w:rPr>
        <w:t xml:space="preserve">es Conseillers nationaux lors de l’examen du </w:t>
      </w:r>
      <w:r w:rsidRPr="00BB4320">
        <w:rPr>
          <w:rFonts w:ascii="Times New Roman" w:eastAsia="Cambria" w:hAnsi="Times New Roman"/>
        </w:rPr>
        <w:t>projet de loi, ainsi que des recommandations.</w:t>
      </w:r>
    </w:p>
    <w:p w14:paraId="41101995" w14:textId="207862E6" w:rsidR="00AD05B0" w:rsidRPr="00BB4320" w:rsidRDefault="00AD05B0" w:rsidP="00BB4320">
      <w:pPr>
        <w:shd w:val="clear" w:color="auto" w:fill="D9E2F3" w:themeFill="accent1" w:themeFillTint="33"/>
        <w:spacing w:after="240" w:line="360" w:lineRule="auto"/>
        <w:jc w:val="both"/>
        <w:rPr>
          <w:rFonts w:ascii="Times New Roman" w:eastAsia="Cambria" w:hAnsi="Times New Roman"/>
          <w:b/>
          <w:bCs/>
          <w:i/>
          <w:iCs/>
        </w:rPr>
      </w:pPr>
      <w:r w:rsidRPr="00BB4320">
        <w:rPr>
          <w:rFonts w:ascii="Times New Roman" w:eastAsia="Cambria" w:hAnsi="Times New Roman"/>
          <w:b/>
          <w:bCs/>
          <w:i/>
          <w:iCs/>
        </w:rPr>
        <w:t>Sur la forme</w:t>
      </w:r>
    </w:p>
    <w:p w14:paraId="3EA09770" w14:textId="331E1589" w:rsidR="00742FED" w:rsidRPr="00BB4320" w:rsidRDefault="00742FED" w:rsidP="00BB4320">
      <w:pPr>
        <w:pStyle w:val="Paragraphedeliste"/>
        <w:numPr>
          <w:ilvl w:val="0"/>
          <w:numId w:val="16"/>
        </w:numPr>
        <w:spacing w:after="240" w:line="360" w:lineRule="auto"/>
        <w:jc w:val="both"/>
        <w:rPr>
          <w:rFonts w:ascii="Times New Roman" w:eastAsia="Cambria" w:hAnsi="Times New Roman"/>
        </w:rPr>
      </w:pPr>
      <w:r w:rsidRPr="00BB4320">
        <w:rPr>
          <w:rFonts w:ascii="Times New Roman" w:eastAsia="Cambria" w:hAnsi="Times New Roman"/>
        </w:rPr>
        <w:t xml:space="preserve">Dans son état initial, le titre I des dispositions générales, était constitué d’un chapitre unique traitant des définitions, de l’objet, du champ d’application et du Régulateur. </w:t>
      </w:r>
      <w:r w:rsidR="009A4905" w:rsidRPr="00BB4320">
        <w:rPr>
          <w:rFonts w:ascii="Times New Roman" w:eastAsia="Cambria" w:hAnsi="Times New Roman"/>
        </w:rPr>
        <w:t xml:space="preserve">Il </w:t>
      </w:r>
      <w:r w:rsidR="00BF6623" w:rsidRPr="00BB4320">
        <w:rPr>
          <w:rFonts w:ascii="Times New Roman" w:eastAsia="Cambria" w:hAnsi="Times New Roman"/>
        </w:rPr>
        <w:t>est</w:t>
      </w:r>
      <w:r w:rsidR="009A4905" w:rsidRPr="00BB4320">
        <w:rPr>
          <w:rFonts w:ascii="Times New Roman" w:eastAsia="Cambria" w:hAnsi="Times New Roman"/>
        </w:rPr>
        <w:t xml:space="preserve"> procédé à un éclatement de ce chapitre en deux : </w:t>
      </w:r>
      <w:r w:rsidR="00BF6623" w:rsidRPr="00BB4320">
        <w:rPr>
          <w:rFonts w:ascii="Times New Roman" w:eastAsia="Cambria" w:hAnsi="Times New Roman"/>
        </w:rPr>
        <w:t xml:space="preserve">le premier sur </w:t>
      </w:r>
      <w:r w:rsidR="00E32603" w:rsidRPr="00BB4320">
        <w:rPr>
          <w:rFonts w:ascii="Times New Roman" w:eastAsia="Cambria" w:hAnsi="Times New Roman"/>
        </w:rPr>
        <w:t xml:space="preserve">l’objet et </w:t>
      </w:r>
      <w:r w:rsidR="00BF6623" w:rsidRPr="00BB4320">
        <w:rPr>
          <w:rFonts w:ascii="Times New Roman" w:eastAsia="Cambria" w:hAnsi="Times New Roman"/>
        </w:rPr>
        <w:t>le</w:t>
      </w:r>
      <w:r w:rsidR="00E32603" w:rsidRPr="00BB4320">
        <w:rPr>
          <w:rFonts w:ascii="Times New Roman" w:eastAsia="Cambria" w:hAnsi="Times New Roman"/>
        </w:rPr>
        <w:t xml:space="preserve"> champ d’application et le </w:t>
      </w:r>
      <w:r w:rsidR="00183107" w:rsidRPr="00BB4320">
        <w:rPr>
          <w:rFonts w:ascii="Times New Roman" w:eastAsia="Cambria" w:hAnsi="Times New Roman"/>
        </w:rPr>
        <w:t xml:space="preserve">second sur les </w:t>
      </w:r>
      <w:r w:rsidR="009A4905" w:rsidRPr="00BB4320">
        <w:rPr>
          <w:rFonts w:ascii="Times New Roman" w:eastAsia="Cambria" w:hAnsi="Times New Roman"/>
        </w:rPr>
        <w:t xml:space="preserve">définitions. Les dispositions sur le Régulateur </w:t>
      </w:r>
      <w:r w:rsidR="00BB0FDC" w:rsidRPr="00BB4320">
        <w:rPr>
          <w:rFonts w:ascii="Times New Roman" w:eastAsia="Cambria" w:hAnsi="Times New Roman"/>
        </w:rPr>
        <w:t>sont déplacées au titre</w:t>
      </w:r>
      <w:r w:rsidR="00E32603" w:rsidRPr="00BB4320">
        <w:rPr>
          <w:rFonts w:ascii="Times New Roman" w:eastAsia="Cambria" w:hAnsi="Times New Roman"/>
        </w:rPr>
        <w:t xml:space="preserve"> I</w:t>
      </w:r>
      <w:r w:rsidR="00BF6623" w:rsidRPr="00BB4320">
        <w:rPr>
          <w:rFonts w:ascii="Times New Roman" w:eastAsia="Cambria" w:hAnsi="Times New Roman"/>
        </w:rPr>
        <w:t>V</w:t>
      </w:r>
      <w:r w:rsidR="00E32603" w:rsidRPr="00BB4320">
        <w:rPr>
          <w:rFonts w:ascii="Times New Roman" w:eastAsia="Cambria" w:hAnsi="Times New Roman"/>
        </w:rPr>
        <w:t xml:space="preserve"> </w:t>
      </w:r>
      <w:r w:rsidR="006755D1">
        <w:rPr>
          <w:rFonts w:ascii="Times New Roman" w:eastAsia="Cambria" w:hAnsi="Times New Roman"/>
        </w:rPr>
        <w:t>qui traite d</w:t>
      </w:r>
      <w:r w:rsidR="00E32603" w:rsidRPr="00BB4320">
        <w:rPr>
          <w:rFonts w:ascii="Times New Roman" w:eastAsia="Cambria" w:hAnsi="Times New Roman"/>
        </w:rPr>
        <w:t>es dispositions transitoires et finales.</w:t>
      </w:r>
    </w:p>
    <w:p w14:paraId="659E890C" w14:textId="1DFF449A" w:rsidR="00AD05B0" w:rsidRPr="00BB4320" w:rsidRDefault="00183107" w:rsidP="00BB4320">
      <w:pPr>
        <w:pStyle w:val="Paragraphedeliste"/>
        <w:numPr>
          <w:ilvl w:val="0"/>
          <w:numId w:val="16"/>
        </w:numPr>
        <w:spacing w:after="240" w:line="360" w:lineRule="auto"/>
        <w:jc w:val="both"/>
        <w:rPr>
          <w:rFonts w:ascii="Times New Roman" w:eastAsia="Cambria" w:hAnsi="Times New Roman"/>
        </w:rPr>
      </w:pPr>
      <w:r w:rsidRPr="00BB4320">
        <w:rPr>
          <w:rFonts w:ascii="Times New Roman" w:eastAsia="Cambria" w:hAnsi="Times New Roman"/>
        </w:rPr>
        <w:t>Pour conserver l’harmonie et la cohérence dans l’expression des articles, des titres ont été générés pour les articles qui n’en disposaient pas. Dans son état initial, seuls 41 articles sur 127 étaient titrés.</w:t>
      </w:r>
      <w:r w:rsidR="00767239">
        <w:rPr>
          <w:rFonts w:ascii="Times New Roman" w:eastAsia="Cambria" w:hAnsi="Times New Roman"/>
        </w:rPr>
        <w:t xml:space="preserve"> </w:t>
      </w:r>
    </w:p>
    <w:p w14:paraId="1ADB1FC5" w14:textId="6BBCA0D4" w:rsidR="00742FED" w:rsidRPr="00BB4320" w:rsidRDefault="00BB0FDC" w:rsidP="00BB4320">
      <w:pPr>
        <w:pStyle w:val="Paragraphedeliste"/>
        <w:numPr>
          <w:ilvl w:val="0"/>
          <w:numId w:val="16"/>
        </w:numPr>
        <w:spacing w:after="240" w:line="360" w:lineRule="auto"/>
        <w:jc w:val="both"/>
        <w:rPr>
          <w:rFonts w:ascii="Times New Roman" w:eastAsia="Cambria" w:hAnsi="Times New Roman"/>
        </w:rPr>
      </w:pPr>
      <w:r w:rsidRPr="00BB4320">
        <w:rPr>
          <w:rFonts w:ascii="Times New Roman" w:eastAsia="Cambria" w:hAnsi="Times New Roman"/>
        </w:rPr>
        <w:t xml:space="preserve">L’appellation « Régulateur » est remplacée par « organisme de régulation » pour évoquer l’autorité </w:t>
      </w:r>
      <w:r w:rsidR="00183107" w:rsidRPr="00BB4320">
        <w:rPr>
          <w:rFonts w:ascii="Times New Roman" w:eastAsia="Cambria" w:hAnsi="Times New Roman"/>
        </w:rPr>
        <w:t>administrative q</w:t>
      </w:r>
      <w:r w:rsidRPr="00BB4320">
        <w:rPr>
          <w:rFonts w:ascii="Times New Roman" w:eastAsia="Cambria" w:hAnsi="Times New Roman"/>
        </w:rPr>
        <w:t>ui sera chargée de veiller au respect des règles et normes régissant le secteur de la publicité</w:t>
      </w:r>
      <w:r w:rsidR="00C02BAA" w:rsidRPr="00BB4320">
        <w:rPr>
          <w:rFonts w:ascii="Times New Roman" w:eastAsia="Cambria" w:hAnsi="Times New Roman"/>
        </w:rPr>
        <w:t>.</w:t>
      </w:r>
    </w:p>
    <w:p w14:paraId="7E1E629D" w14:textId="09B72BB8" w:rsidR="00B15600" w:rsidRPr="00BB4320" w:rsidRDefault="00B15600" w:rsidP="00BB4320">
      <w:pPr>
        <w:pStyle w:val="Paragraphedeliste"/>
        <w:numPr>
          <w:ilvl w:val="0"/>
          <w:numId w:val="16"/>
        </w:numPr>
        <w:spacing w:after="240" w:line="360" w:lineRule="auto"/>
        <w:jc w:val="both"/>
        <w:rPr>
          <w:rFonts w:ascii="Times New Roman" w:eastAsia="Cambria" w:hAnsi="Times New Roman"/>
        </w:rPr>
      </w:pPr>
      <w:r w:rsidRPr="00BB4320">
        <w:rPr>
          <w:rFonts w:ascii="Times New Roman" w:eastAsia="Cambria" w:hAnsi="Times New Roman"/>
        </w:rPr>
        <w:t xml:space="preserve">L’article 2 du texte initial est éclaté. Le deuxième alinéa est devenu </w:t>
      </w:r>
      <w:r w:rsidR="00183107" w:rsidRPr="00BB4320">
        <w:rPr>
          <w:rFonts w:ascii="Times New Roman" w:eastAsia="Cambria" w:hAnsi="Times New Roman"/>
        </w:rPr>
        <w:t>l’</w:t>
      </w:r>
      <w:r w:rsidRPr="00BB4320">
        <w:rPr>
          <w:rFonts w:ascii="Times New Roman" w:eastAsia="Cambria" w:hAnsi="Times New Roman"/>
        </w:rPr>
        <w:t>article 3</w:t>
      </w:r>
      <w:r w:rsidR="00C02BAA" w:rsidRPr="00BB4320">
        <w:rPr>
          <w:rFonts w:ascii="Times New Roman" w:eastAsia="Cambria" w:hAnsi="Times New Roman"/>
        </w:rPr>
        <w:t>.</w:t>
      </w:r>
    </w:p>
    <w:p w14:paraId="0652B418" w14:textId="77777777" w:rsidR="00E32852" w:rsidRPr="00BB4320" w:rsidRDefault="00E32852" w:rsidP="00BB4320">
      <w:pPr>
        <w:pStyle w:val="Paragraphedeliste"/>
        <w:widowControl w:val="0"/>
        <w:numPr>
          <w:ilvl w:val="0"/>
          <w:numId w:val="16"/>
        </w:numPr>
        <w:tabs>
          <w:tab w:val="left" w:pos="2496"/>
        </w:tabs>
        <w:autoSpaceDE w:val="0"/>
        <w:autoSpaceDN w:val="0"/>
        <w:spacing w:line="360" w:lineRule="auto"/>
        <w:ind w:right="38"/>
        <w:jc w:val="both"/>
        <w:rPr>
          <w:rFonts w:ascii="Times New Roman" w:eastAsia="Cambria" w:hAnsi="Times New Roman"/>
        </w:rPr>
      </w:pPr>
      <w:r w:rsidRPr="00BB4320">
        <w:rPr>
          <w:rFonts w:ascii="Times New Roman" w:eastAsia="Cambria" w:hAnsi="Times New Roman"/>
        </w:rPr>
        <w:t>Les articles 22 et 23 sont devenus des alinéas pour compléter l’article 21 qui traite des conditions particulières à l’affichage publicitaire.</w:t>
      </w:r>
    </w:p>
    <w:p w14:paraId="59D753B3" w14:textId="30309AD9" w:rsidR="00B15600" w:rsidRPr="00BB4320" w:rsidRDefault="005D2CF6" w:rsidP="00BB4320">
      <w:pPr>
        <w:pStyle w:val="Paragraphedeliste"/>
        <w:widowControl w:val="0"/>
        <w:numPr>
          <w:ilvl w:val="0"/>
          <w:numId w:val="16"/>
        </w:numPr>
        <w:tabs>
          <w:tab w:val="left" w:pos="2496"/>
        </w:tabs>
        <w:autoSpaceDE w:val="0"/>
        <w:autoSpaceDN w:val="0"/>
        <w:spacing w:line="360" w:lineRule="auto"/>
        <w:ind w:right="38"/>
        <w:jc w:val="both"/>
        <w:rPr>
          <w:rFonts w:ascii="Times New Roman" w:eastAsia="Cambria" w:hAnsi="Times New Roman"/>
        </w:rPr>
      </w:pPr>
      <w:r w:rsidRPr="00BB4320">
        <w:rPr>
          <w:rFonts w:ascii="Times New Roman" w:eastAsia="Cambria" w:hAnsi="Times New Roman"/>
        </w:rPr>
        <w:t xml:space="preserve">L’article 28 est devenu un alinéa de l’article 27 traitant </w:t>
      </w:r>
      <w:r w:rsidR="00B01902" w:rsidRPr="00BB4320">
        <w:rPr>
          <w:rFonts w:ascii="Times New Roman" w:eastAsia="Cambria" w:hAnsi="Times New Roman"/>
        </w:rPr>
        <w:t>de la publicité lumineuse.</w:t>
      </w:r>
    </w:p>
    <w:p w14:paraId="197D508D" w14:textId="1F038D87" w:rsidR="00375077" w:rsidRPr="00BB4320" w:rsidRDefault="00375077" w:rsidP="00BB4320">
      <w:pPr>
        <w:pStyle w:val="Paragraphedeliste"/>
        <w:numPr>
          <w:ilvl w:val="0"/>
          <w:numId w:val="16"/>
        </w:numPr>
        <w:spacing w:line="360" w:lineRule="auto"/>
        <w:jc w:val="both"/>
        <w:textAlignment w:val="baseline"/>
        <w:rPr>
          <w:rFonts w:ascii="Times New Roman" w:eastAsia="Cambria" w:hAnsi="Times New Roman"/>
          <w:i/>
          <w:iCs/>
        </w:rPr>
      </w:pPr>
      <w:r w:rsidRPr="00BB4320">
        <w:rPr>
          <w:rFonts w:ascii="Times New Roman" w:eastAsia="Cambria" w:hAnsi="Times New Roman"/>
        </w:rPr>
        <w:t xml:space="preserve">L’article 32 ancien (27) </w:t>
      </w:r>
      <w:r w:rsidR="00737D33">
        <w:rPr>
          <w:rFonts w:ascii="Times New Roman" w:eastAsia="Cambria" w:hAnsi="Times New Roman"/>
        </w:rPr>
        <w:t xml:space="preserve">sur le </w:t>
      </w:r>
      <w:r w:rsidRPr="00BB4320">
        <w:rPr>
          <w:rFonts w:ascii="Times New Roman" w:eastAsia="Cambria" w:hAnsi="Times New Roman"/>
        </w:rPr>
        <w:t xml:space="preserve">sponsoring d’émission </w:t>
      </w:r>
      <w:r w:rsidR="00183107" w:rsidRPr="00BB4320">
        <w:rPr>
          <w:rFonts w:ascii="Times New Roman" w:eastAsia="Cambria" w:hAnsi="Times New Roman"/>
        </w:rPr>
        <w:t>est</w:t>
      </w:r>
      <w:r w:rsidRPr="00BB4320">
        <w:rPr>
          <w:rFonts w:ascii="Times New Roman" w:eastAsia="Cambria" w:hAnsi="Times New Roman"/>
        </w:rPr>
        <w:t xml:space="preserve"> déplacé </w:t>
      </w:r>
      <w:r w:rsidR="00626B97" w:rsidRPr="00BB4320">
        <w:rPr>
          <w:rFonts w:ascii="Times New Roman" w:eastAsia="Cambria" w:hAnsi="Times New Roman"/>
        </w:rPr>
        <w:t xml:space="preserve">dans le chapitre qui traite du sponsoring </w:t>
      </w:r>
      <w:r w:rsidRPr="00BB4320">
        <w:rPr>
          <w:rFonts w:ascii="Times New Roman" w:eastAsia="Cambria" w:hAnsi="Times New Roman"/>
        </w:rPr>
        <w:t>et du parrainage</w:t>
      </w:r>
      <w:r w:rsidRPr="00BB4320">
        <w:rPr>
          <w:rFonts w:ascii="Times New Roman" w:eastAsia="Cambria" w:hAnsi="Times New Roman"/>
          <w:i/>
          <w:iCs/>
        </w:rPr>
        <w:t> ».</w:t>
      </w:r>
    </w:p>
    <w:p w14:paraId="7CE0F070" w14:textId="242CEAC9" w:rsidR="00C02BAA" w:rsidRPr="00BB4320" w:rsidRDefault="00375077" w:rsidP="00BB4320">
      <w:pPr>
        <w:pStyle w:val="Paragraphedeliste"/>
        <w:numPr>
          <w:ilvl w:val="0"/>
          <w:numId w:val="16"/>
        </w:numPr>
        <w:spacing w:line="360" w:lineRule="auto"/>
        <w:jc w:val="both"/>
        <w:textAlignment w:val="baseline"/>
        <w:rPr>
          <w:rFonts w:ascii="Times New Roman" w:eastAsia="Cambria" w:hAnsi="Times New Roman"/>
        </w:rPr>
      </w:pPr>
      <w:r w:rsidRPr="00BB4320">
        <w:rPr>
          <w:rFonts w:ascii="Times New Roman" w:eastAsia="Cambria" w:hAnsi="Times New Roman"/>
        </w:rPr>
        <w:t xml:space="preserve">Les articles 38, 39, 40, 41, 42, anciens sont </w:t>
      </w:r>
      <w:r w:rsidR="00626B97" w:rsidRPr="00BB4320">
        <w:rPr>
          <w:rFonts w:ascii="Times New Roman" w:eastAsia="Cambria" w:hAnsi="Times New Roman"/>
        </w:rPr>
        <w:t>désormais des alinéas de l’article 23 nouveau traitant du contenu des messages publicitaire</w:t>
      </w:r>
      <w:r w:rsidR="006755D1">
        <w:rPr>
          <w:rFonts w:ascii="Times New Roman" w:eastAsia="Cambria" w:hAnsi="Times New Roman"/>
        </w:rPr>
        <w:t>s</w:t>
      </w:r>
      <w:r w:rsidR="00626B97" w:rsidRPr="00BB4320">
        <w:rPr>
          <w:rFonts w:ascii="Times New Roman" w:eastAsia="Cambria" w:hAnsi="Times New Roman"/>
        </w:rPr>
        <w:t>.</w:t>
      </w:r>
    </w:p>
    <w:p w14:paraId="7D6AFC49" w14:textId="40C6A6E9" w:rsidR="00AD05B0" w:rsidRPr="00BB4320" w:rsidRDefault="00AD05B0" w:rsidP="00A055D3">
      <w:pPr>
        <w:shd w:val="clear" w:color="auto" w:fill="D9E2F3" w:themeFill="accent1" w:themeFillTint="33"/>
        <w:spacing w:before="240" w:after="240" w:line="360" w:lineRule="auto"/>
        <w:jc w:val="both"/>
        <w:rPr>
          <w:rFonts w:ascii="Times New Roman" w:eastAsia="Cambria" w:hAnsi="Times New Roman"/>
          <w:b/>
          <w:bCs/>
          <w:i/>
          <w:iCs/>
        </w:rPr>
      </w:pPr>
      <w:r w:rsidRPr="00BB4320">
        <w:rPr>
          <w:rFonts w:ascii="Times New Roman" w:eastAsia="Cambria" w:hAnsi="Times New Roman"/>
          <w:b/>
          <w:bCs/>
          <w:i/>
          <w:iCs/>
        </w:rPr>
        <w:t>Sur le fond</w:t>
      </w:r>
    </w:p>
    <w:p w14:paraId="1438AECF" w14:textId="338BCD73" w:rsidR="008B2EEF" w:rsidRPr="00BB4320" w:rsidRDefault="00026E81" w:rsidP="00BB4320">
      <w:pPr>
        <w:pStyle w:val="Paragraphedeliste"/>
        <w:numPr>
          <w:ilvl w:val="0"/>
          <w:numId w:val="16"/>
        </w:numPr>
        <w:spacing w:after="240" w:line="360" w:lineRule="auto"/>
        <w:jc w:val="both"/>
        <w:rPr>
          <w:rFonts w:ascii="Times New Roman" w:eastAsia="Cambria" w:hAnsi="Times New Roman"/>
        </w:rPr>
      </w:pPr>
      <w:r w:rsidRPr="00BB4320">
        <w:rPr>
          <w:rFonts w:ascii="Times New Roman" w:eastAsia="Cambria" w:hAnsi="Times New Roman"/>
        </w:rPr>
        <w:t xml:space="preserve">Au chapitre des </w:t>
      </w:r>
      <w:r w:rsidR="00BB0FDC" w:rsidRPr="00BB4320">
        <w:rPr>
          <w:rFonts w:ascii="Times New Roman" w:eastAsia="Cambria" w:hAnsi="Times New Roman"/>
        </w:rPr>
        <w:t>définitions</w:t>
      </w:r>
      <w:r w:rsidRPr="00BB4320">
        <w:rPr>
          <w:rFonts w:ascii="Times New Roman" w:eastAsia="Cambria" w:hAnsi="Times New Roman"/>
        </w:rPr>
        <w:t>, sur les 48</w:t>
      </w:r>
      <w:r w:rsidR="00B15600" w:rsidRPr="00BB4320">
        <w:rPr>
          <w:rFonts w:ascii="Times New Roman" w:eastAsia="Cambria" w:hAnsi="Times New Roman"/>
        </w:rPr>
        <w:t xml:space="preserve"> termes définis</w:t>
      </w:r>
      <w:r w:rsidR="005868D1">
        <w:rPr>
          <w:rFonts w:ascii="Times New Roman" w:eastAsia="Cambria" w:hAnsi="Times New Roman"/>
        </w:rPr>
        <w:t xml:space="preserve"> dans le texte initial</w:t>
      </w:r>
      <w:r w:rsidR="00B15600" w:rsidRPr="00BB4320">
        <w:rPr>
          <w:rFonts w:ascii="Times New Roman" w:eastAsia="Cambria" w:hAnsi="Times New Roman"/>
        </w:rPr>
        <w:t>, 42</w:t>
      </w:r>
      <w:r w:rsidR="009A4905" w:rsidRPr="00BB4320">
        <w:rPr>
          <w:rFonts w:ascii="Times New Roman" w:eastAsia="Cambria" w:hAnsi="Times New Roman"/>
        </w:rPr>
        <w:t xml:space="preserve"> ont connu des </w:t>
      </w:r>
      <w:r w:rsidR="00BB0FDC" w:rsidRPr="00BB4320">
        <w:rPr>
          <w:rFonts w:ascii="Times New Roman" w:eastAsia="Cambria" w:hAnsi="Times New Roman"/>
        </w:rPr>
        <w:t>amendements</w:t>
      </w:r>
      <w:r w:rsidR="009A4905" w:rsidRPr="00BB4320">
        <w:rPr>
          <w:rFonts w:ascii="Times New Roman" w:eastAsia="Cambria" w:hAnsi="Times New Roman"/>
        </w:rPr>
        <w:t xml:space="preserve"> </w:t>
      </w:r>
      <w:r w:rsidR="00B15600" w:rsidRPr="00BB4320">
        <w:rPr>
          <w:rFonts w:ascii="Times New Roman" w:eastAsia="Cambria" w:hAnsi="Times New Roman"/>
        </w:rPr>
        <w:t xml:space="preserve">dont </w:t>
      </w:r>
      <w:r w:rsidR="00BA12AD" w:rsidRPr="00BB4320">
        <w:rPr>
          <w:rFonts w:ascii="Times New Roman" w:eastAsia="Cambria" w:hAnsi="Times New Roman"/>
        </w:rPr>
        <w:t>17 entièrement</w:t>
      </w:r>
      <w:r w:rsidR="009A4905" w:rsidRPr="00BB4320">
        <w:rPr>
          <w:rFonts w:ascii="Times New Roman" w:eastAsia="Cambria" w:hAnsi="Times New Roman"/>
        </w:rPr>
        <w:t xml:space="preserve"> reformulées</w:t>
      </w:r>
      <w:r w:rsidR="00C02BAA" w:rsidRPr="00BB4320">
        <w:rPr>
          <w:rFonts w:ascii="Times New Roman" w:eastAsia="Cambria" w:hAnsi="Times New Roman"/>
        </w:rPr>
        <w:t xml:space="preserve">, </w:t>
      </w:r>
      <w:r w:rsidR="00B15600" w:rsidRPr="00BB4320">
        <w:rPr>
          <w:rFonts w:ascii="Times New Roman" w:eastAsia="Cambria" w:hAnsi="Times New Roman"/>
        </w:rPr>
        <w:t>26</w:t>
      </w:r>
      <w:r w:rsidR="00BB0FDC" w:rsidRPr="00BB4320">
        <w:rPr>
          <w:rFonts w:ascii="Times New Roman" w:eastAsia="Cambria" w:hAnsi="Times New Roman"/>
        </w:rPr>
        <w:t xml:space="preserve"> partiellement reformulées</w:t>
      </w:r>
      <w:r w:rsidR="00B15600" w:rsidRPr="00BB4320">
        <w:rPr>
          <w:rFonts w:ascii="Times New Roman" w:eastAsia="Cambria" w:hAnsi="Times New Roman"/>
        </w:rPr>
        <w:t xml:space="preserve"> et 5 sont </w:t>
      </w:r>
      <w:r w:rsidR="00C02BAA" w:rsidRPr="00BB4320">
        <w:rPr>
          <w:rFonts w:ascii="Times New Roman" w:eastAsia="Cambria" w:hAnsi="Times New Roman"/>
        </w:rPr>
        <w:t>inchangées</w:t>
      </w:r>
      <w:r w:rsidR="00B15600" w:rsidRPr="00BB4320">
        <w:rPr>
          <w:rFonts w:ascii="Times New Roman" w:eastAsia="Cambria" w:hAnsi="Times New Roman"/>
        </w:rPr>
        <w:t>.</w:t>
      </w:r>
      <w:r w:rsidR="00455D94">
        <w:rPr>
          <w:rFonts w:ascii="Times New Roman" w:eastAsia="Cambria" w:hAnsi="Times New Roman"/>
        </w:rPr>
        <w:t xml:space="preserve"> Une définition est ajoutée. Il s’agit du mot « évènement » qui au sens de la présente Loi s’entend comme « toute</w:t>
      </w:r>
      <w:r w:rsidR="00455D94" w:rsidRPr="00455D94">
        <w:rPr>
          <w:rFonts w:ascii="Times New Roman" w:eastAsia="Cambria" w:hAnsi="Times New Roman"/>
        </w:rPr>
        <w:t xml:space="preserve"> activité temporaire spécifique, telle qu'un concert, une conférence, une représentation théâtrale, une exposition, une promotion commerciale, ou toute autre manifestation à caractère temporaire »</w:t>
      </w:r>
      <w:r w:rsidR="00455D94">
        <w:rPr>
          <w:rFonts w:ascii="Times New Roman" w:eastAsia="Cambria" w:hAnsi="Times New Roman"/>
        </w:rPr>
        <w:t>.</w:t>
      </w:r>
    </w:p>
    <w:p w14:paraId="497E7A0C" w14:textId="70069534" w:rsidR="00BA12AD" w:rsidRPr="00BB4320" w:rsidRDefault="00BA12AD" w:rsidP="00BB4320">
      <w:pPr>
        <w:pStyle w:val="Paragraphedeliste"/>
        <w:numPr>
          <w:ilvl w:val="0"/>
          <w:numId w:val="16"/>
        </w:numPr>
        <w:spacing w:after="240" w:line="360" w:lineRule="auto"/>
        <w:jc w:val="both"/>
        <w:rPr>
          <w:rFonts w:ascii="Times New Roman" w:eastAsia="Cambria" w:hAnsi="Times New Roman"/>
        </w:rPr>
      </w:pPr>
      <w:r w:rsidRPr="00BB4320">
        <w:rPr>
          <w:rFonts w:ascii="Times New Roman" w:eastAsia="Cambria" w:hAnsi="Times New Roman"/>
        </w:rPr>
        <w:t>L’article 8 du texte initial deven</w:t>
      </w:r>
      <w:r w:rsidR="00290755" w:rsidRPr="00BB4320">
        <w:rPr>
          <w:rFonts w:ascii="Times New Roman" w:eastAsia="Cambria" w:hAnsi="Times New Roman"/>
        </w:rPr>
        <w:t xml:space="preserve">u article 6 nouveau </w:t>
      </w:r>
      <w:r w:rsidRPr="00BB4320">
        <w:rPr>
          <w:rFonts w:ascii="Times New Roman" w:eastAsia="Cambria" w:hAnsi="Times New Roman"/>
        </w:rPr>
        <w:t xml:space="preserve">traitant des conditions d’exercice des professions publicitaires est amendé </w:t>
      </w:r>
      <w:r w:rsidR="006755D1">
        <w:rPr>
          <w:rFonts w:ascii="Times New Roman" w:eastAsia="Cambria" w:hAnsi="Times New Roman"/>
        </w:rPr>
        <w:t>en</w:t>
      </w:r>
      <w:r w:rsidRPr="00BB4320">
        <w:rPr>
          <w:rFonts w:ascii="Times New Roman" w:eastAsia="Cambria" w:hAnsi="Times New Roman"/>
        </w:rPr>
        <w:t xml:space="preserve"> son </w:t>
      </w:r>
      <w:r w:rsidR="00290755" w:rsidRPr="00BB4320">
        <w:rPr>
          <w:rFonts w:ascii="Times New Roman" w:eastAsia="Cambria" w:hAnsi="Times New Roman"/>
        </w:rPr>
        <w:t xml:space="preserve">alinéa 2 </w:t>
      </w:r>
      <w:r w:rsidRPr="00BB4320">
        <w:rPr>
          <w:rFonts w:ascii="Times New Roman" w:eastAsia="Cambria" w:hAnsi="Times New Roman"/>
        </w:rPr>
        <w:t xml:space="preserve">qui </w:t>
      </w:r>
      <w:r w:rsidR="00C02BAA" w:rsidRPr="00BB4320">
        <w:rPr>
          <w:rFonts w:ascii="Times New Roman" w:eastAsia="Cambria" w:hAnsi="Times New Roman"/>
        </w:rPr>
        <w:t>disposait</w:t>
      </w:r>
      <w:r w:rsidRPr="00BB4320">
        <w:rPr>
          <w:rFonts w:ascii="Times New Roman" w:eastAsia="Cambria" w:hAnsi="Times New Roman"/>
        </w:rPr>
        <w:t xml:space="preserve"> qu’un étranger ne peut détenir que 40% au maximum du capital social ou des droits de vote dans une entreprise de publicité. Ce pourcentage est r</w:t>
      </w:r>
      <w:r w:rsidR="006755D1">
        <w:rPr>
          <w:rFonts w:ascii="Times New Roman" w:eastAsia="Cambria" w:hAnsi="Times New Roman"/>
        </w:rPr>
        <w:t>e</w:t>
      </w:r>
      <w:r w:rsidRPr="00BB4320">
        <w:rPr>
          <w:rFonts w:ascii="Times New Roman" w:eastAsia="Cambria" w:hAnsi="Times New Roman"/>
        </w:rPr>
        <w:t>haussé pour s’aligner sur le quota autorisé par la législation sur le contenu local qui est de 49%.</w:t>
      </w:r>
    </w:p>
    <w:p w14:paraId="141D0444" w14:textId="4D13B126" w:rsidR="00BA12AD" w:rsidRDefault="00BA12AD" w:rsidP="00BB4320">
      <w:pPr>
        <w:pStyle w:val="Paragraphedeliste"/>
        <w:widowControl w:val="0"/>
        <w:numPr>
          <w:ilvl w:val="0"/>
          <w:numId w:val="16"/>
        </w:numPr>
        <w:tabs>
          <w:tab w:val="left" w:pos="2496"/>
        </w:tabs>
        <w:autoSpaceDE w:val="0"/>
        <w:autoSpaceDN w:val="0"/>
        <w:spacing w:line="360" w:lineRule="auto"/>
        <w:ind w:right="38"/>
        <w:jc w:val="both"/>
        <w:rPr>
          <w:rFonts w:ascii="Times New Roman" w:eastAsia="Cambria" w:hAnsi="Times New Roman"/>
        </w:rPr>
      </w:pPr>
      <w:r w:rsidRPr="00BB4320">
        <w:rPr>
          <w:rFonts w:ascii="Times New Roman" w:eastAsia="Cambria" w:hAnsi="Times New Roman"/>
        </w:rPr>
        <w:t>L’alinéa 7 du même article qui disposait que « La publicité utilise, pour la diffusion des messages au public, des moyens médias et hors-médias devant faire l’objet d’une validation préalable par le Régulateur. » est supprimé puisque n’ayant aucun rapport avec le sujet traité dans cet article à travers le</w:t>
      </w:r>
      <w:r w:rsidR="00787D9D" w:rsidRPr="00BB4320">
        <w:rPr>
          <w:rFonts w:ascii="Times New Roman" w:eastAsia="Cambria" w:hAnsi="Times New Roman"/>
        </w:rPr>
        <w:t>s</w:t>
      </w:r>
      <w:r w:rsidRPr="00BB4320">
        <w:rPr>
          <w:rFonts w:ascii="Times New Roman" w:eastAsia="Cambria" w:hAnsi="Times New Roman"/>
        </w:rPr>
        <w:t xml:space="preserve"> 6 autres alinéas.</w:t>
      </w:r>
    </w:p>
    <w:p w14:paraId="59FCFBAC" w14:textId="0A020454" w:rsidR="00D06C17" w:rsidRPr="00D06C17" w:rsidRDefault="00D06C17" w:rsidP="00D06C17">
      <w:pPr>
        <w:pStyle w:val="Paragraphedeliste"/>
        <w:numPr>
          <w:ilvl w:val="0"/>
          <w:numId w:val="16"/>
        </w:numPr>
        <w:spacing w:line="360" w:lineRule="auto"/>
        <w:jc w:val="both"/>
        <w:rPr>
          <w:rFonts w:ascii="Times New Roman" w:eastAsia="Cambria" w:hAnsi="Times New Roman"/>
        </w:rPr>
      </w:pPr>
      <w:r w:rsidRPr="00D06C17">
        <w:rPr>
          <w:rFonts w:ascii="Times New Roman" w:eastAsia="Cambria" w:hAnsi="Times New Roman"/>
        </w:rPr>
        <w:t xml:space="preserve">Une nouvelle disposition visant à assurer que les informations publicitaires soient pertinentes et actuelles, tout en contribuant à la propreté et à l'esthétique des espaces publics, est introduite au projet de loi. Elle est la suivante : </w:t>
      </w:r>
      <w:r>
        <w:rPr>
          <w:rFonts w:ascii="Times New Roman" w:eastAsia="Cambria" w:hAnsi="Times New Roman"/>
        </w:rPr>
        <w:t>« </w:t>
      </w:r>
      <w:r w:rsidRPr="00D06C17">
        <w:rPr>
          <w:rFonts w:ascii="Times New Roman" w:eastAsia="Cambria" w:hAnsi="Times New Roman"/>
        </w:rPr>
        <w:t>Toute affiche publicitaire relative à un événement spécifique ne doit être exposée plus de 15 jours après la date de fin de l'événement mentionné. Il incombe à l'annonceur ou à l'exploitant du panneau publicitaire de retirer l'affiche dans le délai spécifié dans le précèdent alinéa.</w:t>
      </w:r>
      <w:r>
        <w:rPr>
          <w:rFonts w:ascii="Times New Roman" w:eastAsia="Cambria" w:hAnsi="Times New Roman"/>
        </w:rPr>
        <w:t> »</w:t>
      </w:r>
    </w:p>
    <w:p w14:paraId="37C0E3F0" w14:textId="4796D41E" w:rsidR="0035433B" w:rsidRPr="00BB4320" w:rsidRDefault="00832646" w:rsidP="00BB4320">
      <w:pPr>
        <w:pStyle w:val="Paragraphedeliste"/>
        <w:widowControl w:val="0"/>
        <w:numPr>
          <w:ilvl w:val="0"/>
          <w:numId w:val="16"/>
        </w:numPr>
        <w:tabs>
          <w:tab w:val="left" w:pos="2496"/>
        </w:tabs>
        <w:autoSpaceDE w:val="0"/>
        <w:autoSpaceDN w:val="0"/>
        <w:spacing w:line="360" w:lineRule="auto"/>
        <w:ind w:right="38"/>
        <w:jc w:val="both"/>
        <w:rPr>
          <w:rFonts w:ascii="Times New Roman" w:eastAsia="Cambria" w:hAnsi="Times New Roman"/>
        </w:rPr>
      </w:pPr>
      <w:r w:rsidRPr="00BB4320">
        <w:rPr>
          <w:rFonts w:ascii="Times New Roman" w:hAnsi="Times New Roman"/>
          <w:color w:val="222222"/>
          <w:shd w:val="clear" w:color="auto" w:fill="FFFFFF"/>
        </w:rPr>
        <w:t xml:space="preserve">A l’article 19 du texte initial, sur l’entretien des panneaux d’affichage, un délai de 15 jours est indiqué en remplacement </w:t>
      </w:r>
      <w:r w:rsidR="00F375B5" w:rsidRPr="00BB4320">
        <w:rPr>
          <w:rFonts w:ascii="Times New Roman" w:hAnsi="Times New Roman"/>
          <w:color w:val="222222"/>
          <w:shd w:val="clear" w:color="auto" w:fill="FFFFFF"/>
        </w:rPr>
        <w:t>d</w:t>
      </w:r>
      <w:proofErr w:type="gramStart"/>
      <w:r w:rsidR="00F375B5" w:rsidRPr="00BB4320">
        <w:rPr>
          <w:rFonts w:ascii="Times New Roman" w:hAnsi="Times New Roman"/>
          <w:color w:val="222222"/>
          <w:shd w:val="clear" w:color="auto" w:fill="FFFFFF"/>
        </w:rPr>
        <w:t>’«</w:t>
      </w:r>
      <w:proofErr w:type="gramEnd"/>
      <w:r w:rsidRPr="00BB4320">
        <w:rPr>
          <w:rFonts w:ascii="Times New Roman" w:hAnsi="Times New Roman"/>
          <w:color w:val="222222"/>
          <w:shd w:val="clear" w:color="auto" w:fill="FFFFFF"/>
        </w:rPr>
        <w:t xml:space="preserve"> un délai déterminé » Un alinéa est également ajouté qui dit: </w:t>
      </w:r>
      <w:r w:rsidR="00D06C17">
        <w:rPr>
          <w:rFonts w:ascii="Times New Roman" w:hAnsi="Times New Roman"/>
          <w:color w:val="222222"/>
          <w:shd w:val="clear" w:color="auto" w:fill="FFFFFF"/>
        </w:rPr>
        <w:t>« </w:t>
      </w:r>
      <w:r w:rsidRPr="00BB4320">
        <w:rPr>
          <w:rFonts w:ascii="Times New Roman" w:hAnsi="Times New Roman"/>
          <w:color w:val="222222"/>
          <w:shd w:val="clear" w:color="auto" w:fill="FFFFFF"/>
        </w:rPr>
        <w:t>A l’expiration du délai indiqué à l’alinéa précédent, sans préjudice d’autres sanctions prévues, une pénalité est imposée à la régie au prorata du nombre de jours. »</w:t>
      </w:r>
    </w:p>
    <w:p w14:paraId="32AC5126" w14:textId="171373FC" w:rsidR="0035433B" w:rsidRPr="00BB4320" w:rsidRDefault="00832646" w:rsidP="00BB4320">
      <w:pPr>
        <w:pStyle w:val="Paragraphedeliste"/>
        <w:numPr>
          <w:ilvl w:val="0"/>
          <w:numId w:val="16"/>
        </w:numPr>
        <w:spacing w:after="240" w:line="360" w:lineRule="auto"/>
        <w:jc w:val="both"/>
        <w:textAlignment w:val="baseline"/>
        <w:rPr>
          <w:rFonts w:ascii="Times New Roman" w:eastAsia="Cambria" w:hAnsi="Times New Roman"/>
        </w:rPr>
      </w:pPr>
      <w:r w:rsidRPr="00BB4320">
        <w:rPr>
          <w:rFonts w:ascii="Times New Roman" w:hAnsi="Times New Roman"/>
          <w:color w:val="222222"/>
          <w:shd w:val="clear" w:color="auto" w:fill="FFFFFF"/>
        </w:rPr>
        <w:t>En revanche, à l'article suivant traitant d</w:t>
      </w:r>
      <w:r w:rsidR="006755D1">
        <w:rPr>
          <w:rFonts w:ascii="Times New Roman" w:hAnsi="Times New Roman"/>
          <w:color w:val="222222"/>
          <w:shd w:val="clear" w:color="auto" w:fill="FFFFFF"/>
        </w:rPr>
        <w:t>u</w:t>
      </w:r>
      <w:r w:rsidRPr="00BB4320">
        <w:rPr>
          <w:rFonts w:ascii="Times New Roman" w:hAnsi="Times New Roman"/>
          <w:color w:val="222222"/>
          <w:shd w:val="clear" w:color="auto" w:fill="FFFFFF"/>
        </w:rPr>
        <w:t xml:space="preserve"> retrait des panneaux pour nécessité de travaux, la disposition a été allégée. Initialement il était indiqué « tout panneau dont l’enlèvement ou la suppression est rendu nécessaire par suite de l’aménagement de routes ou de voies d’accès, de découpage d'îlots et, d’une manière générale, de tous travaux de voirie ou d’extension. La régie procède à ses frais au démontage et à l’enlèvement de ces panneaux et de leurs supports sous peine de sanctions. » La régie ne devrait pas subir de sanctions puisqu’à l’installation du panneau, elle n’était pas avertie que le site </w:t>
      </w:r>
      <w:r w:rsidR="00737D33" w:rsidRPr="006755D1">
        <w:rPr>
          <w:rFonts w:ascii="Times New Roman" w:hAnsi="Times New Roman"/>
          <w:color w:val="222222"/>
          <w:shd w:val="clear" w:color="auto" w:fill="FFFFFF"/>
        </w:rPr>
        <w:t>f</w:t>
      </w:r>
      <w:r w:rsidR="006755D1" w:rsidRPr="006755D1">
        <w:rPr>
          <w:rFonts w:ascii="Times New Roman" w:hAnsi="Times New Roman"/>
          <w:color w:val="222222"/>
          <w:shd w:val="clear" w:color="auto" w:fill="FFFFFF"/>
        </w:rPr>
        <w:t>er</w:t>
      </w:r>
      <w:r w:rsidR="00737D33" w:rsidRPr="006755D1">
        <w:rPr>
          <w:rFonts w:ascii="Times New Roman" w:hAnsi="Times New Roman"/>
          <w:color w:val="222222"/>
          <w:shd w:val="clear" w:color="auto" w:fill="FFFFFF"/>
        </w:rPr>
        <w:t>ait</w:t>
      </w:r>
      <w:r w:rsidRPr="00BB4320">
        <w:rPr>
          <w:rFonts w:ascii="Times New Roman" w:hAnsi="Times New Roman"/>
          <w:color w:val="222222"/>
          <w:shd w:val="clear" w:color="auto" w:fill="FFFFFF"/>
        </w:rPr>
        <w:t xml:space="preserve"> l’objet de travaux. Ainsi la disposition est reformulée comme suit : « Les régies démontent dans un délai fixé par voie réglementaire, tout panneau dont le retrait est rendu nécessaire par suite de l’aménagement de routes ou de voies d’accès, de découpage d’ilots et, d’une manière générale, de tous travaux de voiries ou d’extension. La régie procède au démontage de ces panneaux conformément aux clauses contenues dans le cahier de</w:t>
      </w:r>
      <w:r w:rsidR="006755D1">
        <w:rPr>
          <w:rFonts w:ascii="Times New Roman" w:hAnsi="Times New Roman"/>
          <w:color w:val="222222"/>
          <w:shd w:val="clear" w:color="auto" w:fill="FFFFFF"/>
        </w:rPr>
        <w:t>s</w:t>
      </w:r>
      <w:r w:rsidRPr="00BB4320">
        <w:rPr>
          <w:rFonts w:ascii="Times New Roman" w:hAnsi="Times New Roman"/>
          <w:color w:val="222222"/>
          <w:shd w:val="clear" w:color="auto" w:fill="FFFFFF"/>
        </w:rPr>
        <w:t xml:space="preserve"> charges signé avec l’organisme de régulation. »</w:t>
      </w:r>
    </w:p>
    <w:p w14:paraId="50ECE5D1" w14:textId="47D72642" w:rsidR="000A1E18" w:rsidRPr="00BB4320" w:rsidRDefault="00832646" w:rsidP="00BB4320">
      <w:pPr>
        <w:pStyle w:val="Paragraphedeliste"/>
        <w:numPr>
          <w:ilvl w:val="0"/>
          <w:numId w:val="16"/>
        </w:numPr>
        <w:spacing w:line="360" w:lineRule="auto"/>
        <w:jc w:val="both"/>
        <w:rPr>
          <w:rFonts w:ascii="Times New Roman" w:eastAsia="Cambria" w:hAnsi="Times New Roman"/>
        </w:rPr>
      </w:pPr>
      <w:r w:rsidRPr="00BB4320">
        <w:rPr>
          <w:rFonts w:ascii="Times New Roman" w:hAnsi="Times New Roman"/>
          <w:color w:val="222222"/>
          <w:shd w:val="clear" w:color="auto" w:fill="FFFFFF"/>
        </w:rPr>
        <w:t>À l’article sur les engins mobiles à graphie publicitaire et/ou d’identification, un alinéa est ajouté pour dispenser les engins mobiles appartenant aux services publics ou aux organismes à but non lucratif du paiement des frais mentionnés à cet article.</w:t>
      </w:r>
    </w:p>
    <w:p w14:paraId="38395961" w14:textId="4A394964" w:rsidR="00BA12AD" w:rsidRPr="00BB4320" w:rsidRDefault="00832646" w:rsidP="00BB4320">
      <w:pPr>
        <w:pStyle w:val="Paragraphedeliste"/>
        <w:widowControl w:val="0"/>
        <w:numPr>
          <w:ilvl w:val="0"/>
          <w:numId w:val="16"/>
        </w:numPr>
        <w:tabs>
          <w:tab w:val="left" w:pos="2496"/>
        </w:tabs>
        <w:autoSpaceDE w:val="0"/>
        <w:autoSpaceDN w:val="0"/>
        <w:spacing w:line="360" w:lineRule="auto"/>
        <w:ind w:right="38"/>
        <w:jc w:val="both"/>
        <w:rPr>
          <w:rFonts w:ascii="Times New Roman" w:eastAsia="Cambria" w:hAnsi="Times New Roman"/>
        </w:rPr>
      </w:pPr>
      <w:r w:rsidRPr="00BB4320">
        <w:rPr>
          <w:rFonts w:ascii="Times New Roman" w:hAnsi="Times New Roman"/>
          <w:color w:val="222222"/>
          <w:shd w:val="clear" w:color="auto" w:fill="FFFFFF"/>
        </w:rPr>
        <w:t>L’article 26 est supprimé en raison de sa contradiction avec l’article 9 du projet de loi. Alors que le second autorise la publicité sur tout support existant ou à créer, le premier dit que la conception des petit supports publicitaires tels que les kakémonos, les banderoles, fanions, guirlandes, etc. est soumise à une autorisation préalable de l’organisme de régulation.</w:t>
      </w:r>
    </w:p>
    <w:p w14:paraId="0F48C1AA" w14:textId="7787FD6C" w:rsidR="00B01902" w:rsidRPr="00BB4320" w:rsidRDefault="00B01902" w:rsidP="00BB4320">
      <w:pPr>
        <w:pStyle w:val="Paragraphedeliste"/>
        <w:numPr>
          <w:ilvl w:val="0"/>
          <w:numId w:val="16"/>
        </w:numPr>
        <w:spacing w:line="360" w:lineRule="auto"/>
        <w:jc w:val="both"/>
        <w:textAlignment w:val="baseline"/>
        <w:rPr>
          <w:rFonts w:ascii="Times New Roman" w:eastAsia="Times New Roman" w:hAnsi="Times New Roman"/>
          <w:color w:val="4472C4" w:themeColor="accent1"/>
        </w:rPr>
      </w:pPr>
      <w:r w:rsidRPr="00BB4320">
        <w:rPr>
          <w:rFonts w:ascii="Times New Roman" w:eastAsia="Cambria" w:hAnsi="Times New Roman"/>
        </w:rPr>
        <w:t>A l’article 30 portant sur la publicité par voie électronique, un alinéa est ajouté pour dire que « La publicité par voie électronique est également soumise à la règlementation en matière de protection des données à caractère personnel</w:t>
      </w:r>
      <w:r w:rsidR="00596628" w:rsidRPr="00BB4320">
        <w:rPr>
          <w:rFonts w:ascii="Times New Roman" w:eastAsia="Cambria" w:hAnsi="Times New Roman"/>
        </w:rPr>
        <w:t xml:space="preserve"> </w:t>
      </w:r>
      <w:r w:rsidRPr="00BB4320">
        <w:rPr>
          <w:rFonts w:ascii="Times New Roman" w:eastAsia="Cambria" w:hAnsi="Times New Roman"/>
        </w:rPr>
        <w:t>»</w:t>
      </w:r>
      <w:r w:rsidR="00596628" w:rsidRPr="00BB4320">
        <w:rPr>
          <w:rFonts w:ascii="Times New Roman" w:eastAsia="Cambria" w:hAnsi="Times New Roman"/>
        </w:rPr>
        <w:t>.</w:t>
      </w:r>
    </w:p>
    <w:p w14:paraId="5314DBB7" w14:textId="05E06D64" w:rsidR="00065B80" w:rsidRPr="00BB4320" w:rsidRDefault="006755D1" w:rsidP="00BB4320">
      <w:pPr>
        <w:pStyle w:val="Paragraphedeliste"/>
        <w:numPr>
          <w:ilvl w:val="0"/>
          <w:numId w:val="16"/>
        </w:numPr>
        <w:spacing w:line="360" w:lineRule="auto"/>
        <w:jc w:val="both"/>
        <w:textAlignment w:val="baseline"/>
        <w:rPr>
          <w:rFonts w:ascii="Times New Roman" w:eastAsia="Cambria" w:hAnsi="Times New Roman"/>
        </w:rPr>
      </w:pPr>
      <w:r>
        <w:rPr>
          <w:rFonts w:ascii="Times New Roman" w:eastAsia="Cambria" w:hAnsi="Times New Roman"/>
        </w:rPr>
        <w:t>A l</w:t>
      </w:r>
      <w:r w:rsidR="00065B80" w:rsidRPr="00BB4320">
        <w:rPr>
          <w:rFonts w:ascii="Times New Roman" w:eastAsia="Cambria" w:hAnsi="Times New Roman"/>
        </w:rPr>
        <w:t xml:space="preserve">’article </w:t>
      </w:r>
      <w:r>
        <w:rPr>
          <w:rFonts w:ascii="Times New Roman" w:eastAsia="Cambria" w:hAnsi="Times New Roman"/>
        </w:rPr>
        <w:t>traitant</w:t>
      </w:r>
      <w:r w:rsidR="00065B80" w:rsidRPr="00BB4320">
        <w:rPr>
          <w:rFonts w:ascii="Times New Roman" w:eastAsia="Cambria" w:hAnsi="Times New Roman"/>
        </w:rPr>
        <w:t xml:space="preserve"> de la publicité à la radio et à la télévision, l’aliéna 2 sur la durée totale de la publicité </w:t>
      </w:r>
      <w:r w:rsidR="00FE2914" w:rsidRPr="00BB4320">
        <w:rPr>
          <w:rFonts w:ascii="Times New Roman" w:eastAsia="Cambria" w:hAnsi="Times New Roman"/>
        </w:rPr>
        <w:t>est</w:t>
      </w:r>
      <w:r w:rsidR="00065B80" w:rsidRPr="00BB4320">
        <w:rPr>
          <w:rFonts w:ascii="Times New Roman" w:eastAsia="Cambria" w:hAnsi="Times New Roman"/>
        </w:rPr>
        <w:t xml:space="preserve"> revue à </w:t>
      </w:r>
      <w:r w:rsidR="00FE2914" w:rsidRPr="00BB4320">
        <w:rPr>
          <w:rFonts w:ascii="Times New Roman" w:eastAsia="Cambria" w:hAnsi="Times New Roman"/>
        </w:rPr>
        <w:t xml:space="preserve">la baisse soit </w:t>
      </w:r>
      <w:r w:rsidR="00065B80" w:rsidRPr="00BB4320">
        <w:rPr>
          <w:rFonts w:ascii="Times New Roman" w:eastAsia="Cambria" w:hAnsi="Times New Roman"/>
        </w:rPr>
        <w:t xml:space="preserve">15% </w:t>
      </w:r>
      <w:r w:rsidR="00FE2914" w:rsidRPr="00BB4320">
        <w:rPr>
          <w:rFonts w:ascii="Times New Roman" w:eastAsia="Cambria" w:hAnsi="Times New Roman"/>
        </w:rPr>
        <w:t xml:space="preserve">pour une heure d’émission au lieu de </w:t>
      </w:r>
      <w:r w:rsidR="00065B80" w:rsidRPr="00BB4320">
        <w:rPr>
          <w:rFonts w:ascii="Times New Roman" w:eastAsia="Cambria" w:hAnsi="Times New Roman"/>
        </w:rPr>
        <w:t xml:space="preserve">20% </w:t>
      </w:r>
      <w:r w:rsidR="00FE2914" w:rsidRPr="00BB4320">
        <w:rPr>
          <w:rFonts w:ascii="Times New Roman" w:eastAsia="Cambria" w:hAnsi="Times New Roman"/>
        </w:rPr>
        <w:t>indiqué</w:t>
      </w:r>
      <w:r w:rsidR="00065B80" w:rsidRPr="00BB4320">
        <w:rPr>
          <w:rFonts w:ascii="Times New Roman" w:eastAsia="Cambria" w:hAnsi="Times New Roman"/>
        </w:rPr>
        <w:t xml:space="preserve"> dans le </w:t>
      </w:r>
      <w:r w:rsidR="00FE2914" w:rsidRPr="00BB4320">
        <w:rPr>
          <w:rFonts w:ascii="Times New Roman" w:eastAsia="Cambria" w:hAnsi="Times New Roman"/>
        </w:rPr>
        <w:t>projet de loi</w:t>
      </w:r>
      <w:r w:rsidR="00065B80" w:rsidRPr="00BB4320">
        <w:rPr>
          <w:rFonts w:ascii="Times New Roman" w:eastAsia="Cambria" w:hAnsi="Times New Roman"/>
        </w:rPr>
        <w:t xml:space="preserve">. </w:t>
      </w:r>
    </w:p>
    <w:p w14:paraId="4941C42A" w14:textId="49FB6412" w:rsidR="00375077" w:rsidRPr="00BB4320" w:rsidRDefault="00832646" w:rsidP="00BB4320">
      <w:pPr>
        <w:pStyle w:val="Paragraphedeliste"/>
        <w:numPr>
          <w:ilvl w:val="0"/>
          <w:numId w:val="16"/>
        </w:numPr>
        <w:spacing w:line="360" w:lineRule="auto"/>
        <w:jc w:val="both"/>
        <w:textAlignment w:val="baseline"/>
        <w:rPr>
          <w:rFonts w:ascii="Times New Roman" w:eastAsia="Cambria" w:hAnsi="Times New Roman"/>
        </w:rPr>
      </w:pPr>
      <w:r w:rsidRPr="00BB4320">
        <w:rPr>
          <w:rFonts w:ascii="Times New Roman" w:hAnsi="Times New Roman"/>
          <w:color w:val="222222"/>
          <w:shd w:val="clear" w:color="auto" w:fill="FFFFFF"/>
        </w:rPr>
        <w:t>Les articles 34, 37 et 71 anciens sont supprimés à cause de leur caractère irréaliste mais également contraire à la libert</w:t>
      </w:r>
      <w:r w:rsidR="00322D83">
        <w:rPr>
          <w:rFonts w:ascii="Times New Roman" w:hAnsi="Times New Roman"/>
          <w:color w:val="222222"/>
          <w:shd w:val="clear" w:color="auto" w:fill="FFFFFF"/>
        </w:rPr>
        <w:t>é puisque soumis à un régime de censure éventuel</w:t>
      </w:r>
      <w:r w:rsidRPr="00BB4320">
        <w:rPr>
          <w:rFonts w:ascii="Times New Roman" w:hAnsi="Times New Roman"/>
          <w:color w:val="222222"/>
          <w:shd w:val="clear" w:color="auto" w:fill="FFFFFF"/>
        </w:rPr>
        <w:t>. Ces articles instituaient en effet un contrôle à priori de tout message publicitaire et conception de supports publicitaires par le régulateur avant leur diffusion. L</w:t>
      </w:r>
      <w:r w:rsidR="00737D33">
        <w:rPr>
          <w:rFonts w:ascii="Times New Roman" w:hAnsi="Times New Roman"/>
          <w:color w:val="222222"/>
          <w:shd w:val="clear" w:color="auto" w:fill="FFFFFF"/>
        </w:rPr>
        <w:t>e</w:t>
      </w:r>
      <w:r w:rsidRPr="00BB4320">
        <w:rPr>
          <w:rFonts w:ascii="Times New Roman" w:hAnsi="Times New Roman"/>
          <w:color w:val="222222"/>
          <w:shd w:val="clear" w:color="auto" w:fill="FFFFFF"/>
        </w:rPr>
        <w:t xml:space="preserve"> CNT estime qu’une fois cette loi adoptée, l’ensemble des acteurs du secteur doivent </w:t>
      </w:r>
      <w:r w:rsidR="00236CA4" w:rsidRPr="00BB4320">
        <w:rPr>
          <w:rFonts w:ascii="Times New Roman" w:hAnsi="Times New Roman"/>
          <w:color w:val="222222"/>
          <w:shd w:val="clear" w:color="auto" w:fill="FFFFFF"/>
        </w:rPr>
        <w:t>se l’approprier et s’y conformer</w:t>
      </w:r>
      <w:r w:rsidRPr="00BB4320">
        <w:rPr>
          <w:rFonts w:ascii="Times New Roman" w:hAnsi="Times New Roman"/>
          <w:color w:val="222222"/>
          <w:shd w:val="clear" w:color="auto" w:fill="FFFFFF"/>
        </w:rPr>
        <w:t xml:space="preserve">. </w:t>
      </w:r>
      <w:r w:rsidR="00236CA4" w:rsidRPr="00BB4320">
        <w:rPr>
          <w:rFonts w:ascii="Times New Roman" w:hAnsi="Times New Roman"/>
          <w:color w:val="222222"/>
          <w:shd w:val="clear" w:color="auto" w:fill="FFFFFF"/>
        </w:rPr>
        <w:t>C</w:t>
      </w:r>
      <w:r w:rsidRPr="00BB4320">
        <w:rPr>
          <w:rFonts w:ascii="Times New Roman" w:hAnsi="Times New Roman"/>
          <w:color w:val="222222"/>
          <w:shd w:val="clear" w:color="auto" w:fill="FFFFFF"/>
        </w:rPr>
        <w:t xml:space="preserve">eux qui transgresseront les dispositions de la présente loi, ne peuvent invoquer leur ignorance du nouveau texte et s’exposeront aux sanctions prévues à cet effet. </w:t>
      </w:r>
      <w:r w:rsidR="00236CA4" w:rsidRPr="00BB4320">
        <w:rPr>
          <w:rFonts w:ascii="Times New Roman" w:eastAsia="Cambria" w:hAnsi="Times New Roman"/>
        </w:rPr>
        <w:t>Ainsi, l’organisme de régulation intervient à post</w:t>
      </w:r>
      <w:r w:rsidR="006755D1">
        <w:rPr>
          <w:rFonts w:ascii="Times New Roman" w:eastAsia="Cambria" w:hAnsi="Times New Roman"/>
        </w:rPr>
        <w:t>e</w:t>
      </w:r>
      <w:r w:rsidR="00236CA4" w:rsidRPr="00BB4320">
        <w:rPr>
          <w:rFonts w:ascii="Times New Roman" w:eastAsia="Cambria" w:hAnsi="Times New Roman"/>
        </w:rPr>
        <w:t>riori, comme c’est d’ailleurs le cas pour nombre des AAI</w:t>
      </w:r>
      <w:r w:rsidRPr="00BB4320">
        <w:rPr>
          <w:rFonts w:ascii="Times New Roman" w:hAnsi="Times New Roman"/>
          <w:color w:val="222222"/>
          <w:shd w:val="clear" w:color="auto" w:fill="FFFFFF"/>
        </w:rPr>
        <w:t xml:space="preserve">. </w:t>
      </w:r>
      <w:r w:rsidR="00236CA4" w:rsidRPr="00BB4320">
        <w:rPr>
          <w:rFonts w:ascii="Times New Roman" w:hAnsi="Times New Roman"/>
          <w:color w:val="222222"/>
          <w:shd w:val="clear" w:color="auto" w:fill="FFFFFF"/>
        </w:rPr>
        <w:t>Par ailleurs</w:t>
      </w:r>
      <w:r w:rsidRPr="00BB4320">
        <w:rPr>
          <w:rFonts w:ascii="Times New Roman" w:hAnsi="Times New Roman"/>
          <w:color w:val="222222"/>
          <w:shd w:val="clear" w:color="auto" w:fill="FFFFFF"/>
        </w:rPr>
        <w:t>, il ne peut être réaliste et pratique que l’organisme de régulation se prononce sur tous les messages et supports publicitaires avant leur diffusion. Il paralyserait la régularité de la diffusion et ralentirait sinon empêcherait l’accomplissement des autres missions.</w:t>
      </w:r>
    </w:p>
    <w:p w14:paraId="00DD7C8F" w14:textId="5D12AABD" w:rsidR="00375077" w:rsidRPr="00BB4320" w:rsidRDefault="00065B80" w:rsidP="00BB4320">
      <w:pPr>
        <w:pStyle w:val="Paragraphedeliste"/>
        <w:numPr>
          <w:ilvl w:val="0"/>
          <w:numId w:val="16"/>
        </w:numPr>
        <w:spacing w:line="360" w:lineRule="auto"/>
        <w:jc w:val="both"/>
        <w:textAlignment w:val="baseline"/>
        <w:rPr>
          <w:rFonts w:ascii="Times New Roman" w:eastAsia="Cambria" w:hAnsi="Times New Roman"/>
        </w:rPr>
      </w:pPr>
      <w:r w:rsidRPr="00BB4320">
        <w:rPr>
          <w:rFonts w:ascii="Times New Roman" w:eastAsia="Cambria" w:hAnsi="Times New Roman"/>
        </w:rPr>
        <w:t xml:space="preserve">L’article 47 ancien </w:t>
      </w:r>
      <w:r w:rsidR="006755D1">
        <w:rPr>
          <w:rFonts w:ascii="Times New Roman" w:eastAsia="Cambria" w:hAnsi="Times New Roman"/>
        </w:rPr>
        <w:t xml:space="preserve">qui disposait que </w:t>
      </w:r>
      <w:r w:rsidRPr="00BB4320">
        <w:rPr>
          <w:rFonts w:ascii="Times New Roman" w:eastAsia="Cambria" w:hAnsi="Times New Roman"/>
        </w:rPr>
        <w:t>« le message publicitaire est diffusé en langue officielle ou en langue</w:t>
      </w:r>
      <w:r w:rsidR="00236CA4" w:rsidRPr="00BB4320">
        <w:rPr>
          <w:rFonts w:ascii="Times New Roman" w:eastAsia="Cambria" w:hAnsi="Times New Roman"/>
        </w:rPr>
        <w:t>s</w:t>
      </w:r>
      <w:r w:rsidRPr="00BB4320">
        <w:rPr>
          <w:rFonts w:ascii="Times New Roman" w:eastAsia="Cambria" w:hAnsi="Times New Roman"/>
        </w:rPr>
        <w:t xml:space="preserve"> nationales et étrangères »</w:t>
      </w:r>
      <w:r w:rsidR="00375077" w:rsidRPr="00BB4320">
        <w:rPr>
          <w:rFonts w:ascii="Times New Roman" w:eastAsia="Cambria" w:hAnsi="Times New Roman"/>
        </w:rPr>
        <w:t xml:space="preserve"> est supprimé en raison de son caractère </w:t>
      </w:r>
      <w:r w:rsidRPr="00BB4320">
        <w:rPr>
          <w:rFonts w:ascii="Times New Roman" w:eastAsia="Cambria" w:hAnsi="Times New Roman"/>
        </w:rPr>
        <w:t xml:space="preserve">surabondant. </w:t>
      </w:r>
      <w:r w:rsidR="001E2520" w:rsidRPr="00BB4320">
        <w:rPr>
          <w:rFonts w:ascii="Times New Roman" w:eastAsia="Cambria" w:hAnsi="Times New Roman"/>
        </w:rPr>
        <w:t>Il va de soi que les messages sont véhiculés soit en langues nationales ou étrangères.</w:t>
      </w:r>
    </w:p>
    <w:p w14:paraId="7C5817FD" w14:textId="3B9BEC7D" w:rsidR="00065B80" w:rsidRPr="00BB4320" w:rsidRDefault="00065B80" w:rsidP="00BB4320">
      <w:pPr>
        <w:pStyle w:val="Paragraphedeliste"/>
        <w:numPr>
          <w:ilvl w:val="0"/>
          <w:numId w:val="16"/>
        </w:numPr>
        <w:spacing w:line="360" w:lineRule="auto"/>
        <w:jc w:val="both"/>
        <w:textAlignment w:val="baseline"/>
        <w:rPr>
          <w:rFonts w:ascii="Times New Roman" w:eastAsia="Cambria" w:hAnsi="Times New Roman"/>
        </w:rPr>
      </w:pPr>
      <w:r w:rsidRPr="00BB4320">
        <w:rPr>
          <w:rFonts w:ascii="Times New Roman" w:eastAsia="Cambria" w:hAnsi="Times New Roman"/>
        </w:rPr>
        <w:t xml:space="preserve">L’article 56 ancien (35) des mentions obligatoires sur les produits de tabac </w:t>
      </w:r>
      <w:r w:rsidR="001E2520" w:rsidRPr="00BB4320">
        <w:rPr>
          <w:rFonts w:ascii="Times New Roman" w:eastAsia="Cambria" w:hAnsi="Times New Roman"/>
        </w:rPr>
        <w:t>est</w:t>
      </w:r>
      <w:r w:rsidRPr="00BB4320">
        <w:rPr>
          <w:rFonts w:ascii="Times New Roman" w:eastAsia="Cambria" w:hAnsi="Times New Roman"/>
        </w:rPr>
        <w:t xml:space="preserve"> reformulé en 2 ordres</w:t>
      </w:r>
      <w:r w:rsidR="009B14D3" w:rsidRPr="00BB4320">
        <w:rPr>
          <w:rFonts w:ascii="Times New Roman" w:eastAsia="Cambria" w:hAnsi="Times New Roman"/>
        </w:rPr>
        <w:t> :</w:t>
      </w:r>
    </w:p>
    <w:p w14:paraId="5A9D396C" w14:textId="77777777" w:rsidR="00065B80" w:rsidRPr="00C12635" w:rsidRDefault="00065B80" w:rsidP="00BB4320">
      <w:pPr>
        <w:spacing w:line="360" w:lineRule="auto"/>
        <w:ind w:left="1416"/>
        <w:jc w:val="both"/>
        <w:textAlignment w:val="baseline"/>
        <w:rPr>
          <w:rFonts w:ascii="Times New Roman" w:eastAsia="Cambria" w:hAnsi="Times New Roman"/>
          <w:b/>
          <w:bCs/>
          <w:i/>
          <w:iCs/>
        </w:rPr>
      </w:pPr>
      <w:r w:rsidRPr="00C12635">
        <w:rPr>
          <w:rFonts w:ascii="Times New Roman" w:eastAsia="Cambria" w:hAnsi="Times New Roman"/>
          <w:b/>
          <w:bCs/>
          <w:i/>
          <w:iCs/>
        </w:rPr>
        <w:t>« </w:t>
      </w:r>
      <w:proofErr w:type="gramStart"/>
      <w:r w:rsidRPr="00C12635">
        <w:rPr>
          <w:rFonts w:ascii="Times New Roman" w:eastAsia="Cambria" w:hAnsi="Times New Roman"/>
          <w:b/>
          <w:bCs/>
          <w:i/>
          <w:iCs/>
        </w:rPr>
        <w:t>vente</w:t>
      </w:r>
      <w:proofErr w:type="gramEnd"/>
      <w:r w:rsidRPr="00C12635">
        <w:rPr>
          <w:rFonts w:ascii="Times New Roman" w:eastAsia="Cambria" w:hAnsi="Times New Roman"/>
          <w:b/>
          <w:bCs/>
          <w:i/>
          <w:iCs/>
        </w:rPr>
        <w:t xml:space="preserve"> en Guinée, vente interdite aux moins de 18 ans » ;</w:t>
      </w:r>
    </w:p>
    <w:p w14:paraId="45742A8C" w14:textId="509F634E" w:rsidR="00BB0FDC" w:rsidRPr="00C12635" w:rsidRDefault="00065B80" w:rsidP="00BB4320">
      <w:pPr>
        <w:spacing w:line="360" w:lineRule="auto"/>
        <w:ind w:left="1416"/>
        <w:jc w:val="both"/>
        <w:textAlignment w:val="baseline"/>
        <w:rPr>
          <w:rFonts w:ascii="Times New Roman" w:eastAsia="Cambria" w:hAnsi="Times New Roman"/>
          <w:b/>
          <w:bCs/>
          <w:i/>
          <w:iCs/>
        </w:rPr>
      </w:pPr>
      <w:r w:rsidRPr="00C12635">
        <w:rPr>
          <w:rFonts w:ascii="Times New Roman" w:eastAsia="Cambria" w:hAnsi="Times New Roman"/>
          <w:b/>
          <w:bCs/>
          <w:i/>
          <w:iCs/>
        </w:rPr>
        <w:t xml:space="preserve">« </w:t>
      </w:r>
      <w:proofErr w:type="gramStart"/>
      <w:r w:rsidRPr="00C12635">
        <w:rPr>
          <w:rFonts w:ascii="Times New Roman" w:eastAsia="Cambria" w:hAnsi="Times New Roman"/>
          <w:b/>
          <w:bCs/>
          <w:i/>
          <w:iCs/>
        </w:rPr>
        <w:t>le</w:t>
      </w:r>
      <w:proofErr w:type="gramEnd"/>
      <w:r w:rsidRPr="00C12635">
        <w:rPr>
          <w:rFonts w:ascii="Times New Roman" w:eastAsia="Cambria" w:hAnsi="Times New Roman"/>
          <w:b/>
          <w:bCs/>
          <w:i/>
          <w:iCs/>
        </w:rPr>
        <w:t xml:space="preserve"> tabac est dangereux pour la santé ».</w:t>
      </w:r>
    </w:p>
    <w:p w14:paraId="7C189025" w14:textId="48F3B015" w:rsidR="00972F6F" w:rsidRPr="00BB4320" w:rsidRDefault="00972F6F" w:rsidP="00BB4320">
      <w:pPr>
        <w:pStyle w:val="Paragraphedeliste"/>
        <w:numPr>
          <w:ilvl w:val="0"/>
          <w:numId w:val="16"/>
        </w:numPr>
        <w:spacing w:before="240" w:after="240" w:line="360" w:lineRule="auto"/>
        <w:jc w:val="both"/>
        <w:rPr>
          <w:rFonts w:ascii="Times New Roman" w:eastAsia="Cambria" w:hAnsi="Times New Roman"/>
        </w:rPr>
      </w:pPr>
      <w:r w:rsidRPr="00BB4320">
        <w:rPr>
          <w:rFonts w:ascii="Times New Roman" w:eastAsia="Cambria" w:hAnsi="Times New Roman"/>
        </w:rPr>
        <w:t>L</w:t>
      </w:r>
      <w:r w:rsidR="005868D1">
        <w:rPr>
          <w:rFonts w:ascii="Times New Roman" w:eastAsia="Cambria" w:hAnsi="Times New Roman"/>
        </w:rPr>
        <w:t xml:space="preserve">a disposition </w:t>
      </w:r>
      <w:r w:rsidR="00A7071F" w:rsidRPr="00BB4320">
        <w:rPr>
          <w:rFonts w:ascii="Times New Roman" w:hAnsi="Times New Roman"/>
          <w:color w:val="222222"/>
          <w:shd w:val="clear" w:color="auto" w:fill="FFFFFF"/>
        </w:rPr>
        <w:t>sur l’interdiction de la publicité sur certains produits et dérivés est reformulé</w:t>
      </w:r>
      <w:r w:rsidR="005868D1">
        <w:rPr>
          <w:rFonts w:ascii="Times New Roman" w:hAnsi="Times New Roman"/>
          <w:color w:val="222222"/>
          <w:shd w:val="clear" w:color="auto" w:fill="FFFFFF"/>
        </w:rPr>
        <w:t>e</w:t>
      </w:r>
      <w:r w:rsidR="00C863F2">
        <w:rPr>
          <w:rFonts w:ascii="Times New Roman" w:hAnsi="Times New Roman"/>
          <w:color w:val="222222"/>
          <w:shd w:val="clear" w:color="auto" w:fill="FFFFFF"/>
        </w:rPr>
        <w:t> </w:t>
      </w:r>
      <w:r w:rsidR="00A7071F" w:rsidRPr="00BB4320">
        <w:rPr>
          <w:rFonts w:ascii="Times New Roman" w:hAnsi="Times New Roman"/>
          <w:color w:val="222222"/>
          <w:shd w:val="clear" w:color="auto" w:fill="FFFFFF"/>
        </w:rPr>
        <w:t>: « de l’interdiction de l’exercice illicite de la profession publicitaire » l’alinéa 2 est reformulé</w:t>
      </w:r>
      <w:r w:rsidR="00C863F2">
        <w:rPr>
          <w:rFonts w:ascii="Times New Roman" w:hAnsi="Times New Roman"/>
          <w:color w:val="222222"/>
          <w:shd w:val="clear" w:color="auto" w:fill="FFFFFF"/>
        </w:rPr>
        <w:t> </w:t>
      </w:r>
      <w:r w:rsidR="00A7071F" w:rsidRPr="00BB4320">
        <w:rPr>
          <w:rFonts w:ascii="Times New Roman" w:hAnsi="Times New Roman"/>
          <w:color w:val="222222"/>
          <w:shd w:val="clear" w:color="auto" w:fill="FFFFFF"/>
        </w:rPr>
        <w:t xml:space="preserve">: « l’exercice illicite de la profession publicitaire sur toute l’étendue du territoire national est </w:t>
      </w:r>
      <w:proofErr w:type="gramStart"/>
      <w:r w:rsidR="00A7071F" w:rsidRPr="00BB4320">
        <w:rPr>
          <w:rFonts w:ascii="Times New Roman" w:hAnsi="Times New Roman"/>
          <w:color w:val="222222"/>
          <w:shd w:val="clear" w:color="auto" w:fill="FFFFFF"/>
        </w:rPr>
        <w:t>interdit »</w:t>
      </w:r>
      <w:proofErr w:type="gramEnd"/>
      <w:r w:rsidR="00A7071F" w:rsidRPr="00BB4320">
        <w:rPr>
          <w:rFonts w:ascii="Times New Roman" w:hAnsi="Times New Roman"/>
          <w:color w:val="222222"/>
          <w:shd w:val="clear" w:color="auto" w:fill="FFFFFF"/>
        </w:rPr>
        <w:t>.</w:t>
      </w:r>
    </w:p>
    <w:p w14:paraId="5EBCCC15" w14:textId="14BFD1C4" w:rsidR="001E2520" w:rsidRPr="00BB4320" w:rsidRDefault="000464A2" w:rsidP="00BB4320">
      <w:pPr>
        <w:pStyle w:val="Paragraphedeliste"/>
        <w:numPr>
          <w:ilvl w:val="0"/>
          <w:numId w:val="16"/>
        </w:numPr>
        <w:spacing w:after="240" w:line="360" w:lineRule="auto"/>
        <w:jc w:val="both"/>
        <w:rPr>
          <w:rFonts w:ascii="Times New Roman" w:eastAsia="Cambria" w:hAnsi="Times New Roman"/>
        </w:rPr>
      </w:pPr>
      <w:r w:rsidRPr="00BB4320">
        <w:rPr>
          <w:rFonts w:ascii="Times New Roman" w:eastAsia="Cambria" w:hAnsi="Times New Roman"/>
        </w:rPr>
        <w:t>L’article</w:t>
      </w:r>
      <w:r w:rsidR="00520B4F" w:rsidRPr="00BB4320">
        <w:rPr>
          <w:rFonts w:ascii="Times New Roman" w:eastAsia="Cambria" w:hAnsi="Times New Roman"/>
        </w:rPr>
        <w:t xml:space="preserve"> relatif à l’interdiction</w:t>
      </w:r>
      <w:r w:rsidRPr="00BB4320">
        <w:rPr>
          <w:rFonts w:ascii="Times New Roman" w:eastAsia="Cambria" w:hAnsi="Times New Roman"/>
        </w:rPr>
        <w:t xml:space="preserve"> de publicité </w:t>
      </w:r>
      <w:r w:rsidR="007A7CE4" w:rsidRPr="00BB4320">
        <w:rPr>
          <w:rFonts w:ascii="Times New Roman" w:eastAsia="Cambria" w:hAnsi="Times New Roman"/>
        </w:rPr>
        <w:t>sur l</w:t>
      </w:r>
      <w:r w:rsidRPr="00BB4320">
        <w:rPr>
          <w:rFonts w:ascii="Times New Roman" w:eastAsia="Cambria" w:hAnsi="Times New Roman"/>
        </w:rPr>
        <w:t>es activités des partis politiques en dehors de la période électorale</w:t>
      </w:r>
      <w:r w:rsidR="00520B4F" w:rsidRPr="00BB4320">
        <w:rPr>
          <w:rFonts w:ascii="Times New Roman" w:eastAsia="Cambria" w:hAnsi="Times New Roman"/>
        </w:rPr>
        <w:t xml:space="preserve"> </w:t>
      </w:r>
      <w:r w:rsidR="007A7CE4" w:rsidRPr="00BB4320">
        <w:rPr>
          <w:rFonts w:ascii="Times New Roman" w:eastAsia="Cambria" w:hAnsi="Times New Roman"/>
        </w:rPr>
        <w:t>est supprimé pour cause de non-conformité aux textes législatifs et réglementaires régissant les partis politiques en Guinée</w:t>
      </w:r>
      <w:r w:rsidR="00520B4F" w:rsidRPr="00BB4320">
        <w:rPr>
          <w:rFonts w:ascii="Times New Roman" w:eastAsia="Cambria" w:hAnsi="Times New Roman"/>
        </w:rPr>
        <w:t>.</w:t>
      </w:r>
      <w:r w:rsidR="00A7071F" w:rsidRPr="00BB4320">
        <w:rPr>
          <w:rFonts w:ascii="Times New Roman" w:hAnsi="Times New Roman"/>
          <w:color w:val="222222"/>
          <w:shd w:val="clear" w:color="auto" w:fill="FFFFFF"/>
        </w:rPr>
        <w:t> </w:t>
      </w:r>
    </w:p>
    <w:p w14:paraId="3DF3B6A6" w14:textId="015126D2" w:rsidR="000464A2" w:rsidRPr="00BB4320" w:rsidRDefault="00520B4F" w:rsidP="00BB4320">
      <w:pPr>
        <w:pStyle w:val="Paragraphedeliste"/>
        <w:numPr>
          <w:ilvl w:val="0"/>
          <w:numId w:val="16"/>
        </w:numPr>
        <w:spacing w:after="240" w:line="360" w:lineRule="auto"/>
        <w:jc w:val="both"/>
        <w:rPr>
          <w:rFonts w:ascii="Times New Roman" w:eastAsia="Cambria" w:hAnsi="Times New Roman"/>
        </w:rPr>
      </w:pPr>
      <w:r w:rsidRPr="00BB4320">
        <w:rPr>
          <w:rFonts w:ascii="Times New Roman" w:eastAsia="Cambria" w:hAnsi="Times New Roman"/>
        </w:rPr>
        <w:t>L’article 74 ancien relatif à l’assimilation de la publicité mensongère à une manœuvre dolosive</w:t>
      </w:r>
      <w:r w:rsidR="00A71838" w:rsidRPr="00BB4320">
        <w:rPr>
          <w:rFonts w:ascii="Times New Roman" w:eastAsia="Cambria" w:hAnsi="Times New Roman"/>
        </w:rPr>
        <w:t>,</w:t>
      </w:r>
      <w:r w:rsidRPr="00BB4320">
        <w:rPr>
          <w:rFonts w:ascii="Times New Roman" w:eastAsia="Cambria" w:hAnsi="Times New Roman"/>
        </w:rPr>
        <w:t xml:space="preserve"> </w:t>
      </w:r>
      <w:r w:rsidR="00A71838" w:rsidRPr="00BB4320">
        <w:rPr>
          <w:rFonts w:ascii="Times New Roman" w:eastAsia="Cambria" w:hAnsi="Times New Roman"/>
        </w:rPr>
        <w:t>jugée surabondant, est également supprimée, puisque</w:t>
      </w:r>
      <w:r w:rsidRPr="00BB4320">
        <w:rPr>
          <w:rFonts w:ascii="Times New Roman" w:eastAsia="Cambria" w:hAnsi="Times New Roman"/>
        </w:rPr>
        <w:t xml:space="preserve"> par définition il s’agit d’une manœuvre frauduleuse qui est l’équivalent du dol.</w:t>
      </w:r>
    </w:p>
    <w:p w14:paraId="2ACC196F" w14:textId="71883C72" w:rsidR="00A55D81" w:rsidRPr="00BB4320" w:rsidRDefault="00A55D81" w:rsidP="00BB4320">
      <w:pPr>
        <w:pStyle w:val="Paragraphedeliste"/>
        <w:numPr>
          <w:ilvl w:val="0"/>
          <w:numId w:val="16"/>
        </w:numPr>
        <w:shd w:val="clear" w:color="auto" w:fill="FFFFFF" w:themeFill="background1"/>
        <w:spacing w:line="360" w:lineRule="auto"/>
        <w:jc w:val="both"/>
        <w:textAlignment w:val="baseline"/>
        <w:rPr>
          <w:rFonts w:ascii="Times New Roman" w:eastAsia="Cambria" w:hAnsi="Times New Roman"/>
        </w:rPr>
      </w:pPr>
      <w:r w:rsidRPr="00BB4320">
        <w:rPr>
          <w:rFonts w:ascii="Times New Roman" w:eastAsia="Cambria" w:hAnsi="Times New Roman"/>
        </w:rPr>
        <w:t>Le contenu de l’article 66 ancien, traitant du parrainage ou du sponsoring d’évènement ou de causes, reprenait la même disposition qui traite du sponsoring d’émission. Il indiquait : </w:t>
      </w:r>
      <w:r w:rsidRPr="00BB4320">
        <w:rPr>
          <w:rFonts w:ascii="Times New Roman" w:eastAsia="Cambria" w:hAnsi="Times New Roman"/>
          <w:i/>
          <w:iCs/>
        </w:rPr>
        <w:t>« Le parrainage ou sponsoring est un contrat dont l’objet consiste en l’achat par une personne publique ou privée du droit d’être mentionnée par son nom ou sa raison sociale au début et/ou à la fin des émissions ou au générique des retransmissions de certains événements afin de promouvoir son image de marque, son activité ou ses réalisations à l’exclusion de toute promotion commerciale directe ou indirecte de produits ou services. Sont ainsi autorisées et considérées comme parrainage les contributions d’organisations publiques ou privées désirant financer des émissions dans le but de promouvoir leur image, leurs activités ou réalisations en faisant connaître leur nom, leur dénomination ou leur raison sociale. »</w:t>
      </w:r>
      <w:r w:rsidR="009B14D3" w:rsidRPr="00BB4320">
        <w:rPr>
          <w:rFonts w:ascii="Times New Roman" w:eastAsia="Cambria" w:hAnsi="Times New Roman"/>
        </w:rPr>
        <w:t xml:space="preserve"> </w:t>
      </w:r>
      <w:r w:rsidRPr="00BB4320">
        <w:rPr>
          <w:rFonts w:ascii="Times New Roman" w:eastAsia="Cambria" w:hAnsi="Times New Roman"/>
        </w:rPr>
        <w:t>L’amendement de cette disposition se présente ainsi qu’il suit : « Le parrainage et le sponsoring d’une personne physique ou morale à une cause, un évènement ou une organisation sont admis. Le parrain ou le sponsor bénéficie du droit de mention de sa dénomination, sa raison sociale, de l’affichage de son logo ou de son effigie sur les supports de communication de l’activité parrainée ou sponsorisée.</w:t>
      </w:r>
      <w:r w:rsidR="001C14B5" w:rsidRPr="00BB4320">
        <w:rPr>
          <w:rFonts w:ascii="Times New Roman" w:eastAsia="Cambria" w:hAnsi="Times New Roman"/>
        </w:rPr>
        <w:t xml:space="preserve"> </w:t>
      </w:r>
      <w:r w:rsidRPr="00BB4320">
        <w:rPr>
          <w:rFonts w:ascii="Times New Roman" w:eastAsia="Cambria" w:hAnsi="Times New Roman"/>
        </w:rPr>
        <w:t>Toutefois, tout sponsor ou parrain se conforme aux exigences de transparence, d’intégrité, de légalité dans le cadre de son soutien financier ou matériel, et tout avantage qu’il en tire est divulgué. »</w:t>
      </w:r>
    </w:p>
    <w:p w14:paraId="3B8A252F" w14:textId="4287DF24" w:rsidR="00315205" w:rsidRPr="00BB4320" w:rsidRDefault="00315205" w:rsidP="00BB4320">
      <w:pPr>
        <w:pStyle w:val="Paragraphedeliste"/>
        <w:numPr>
          <w:ilvl w:val="0"/>
          <w:numId w:val="16"/>
        </w:numPr>
        <w:spacing w:line="360" w:lineRule="auto"/>
        <w:jc w:val="both"/>
        <w:rPr>
          <w:rFonts w:ascii="Times New Roman" w:eastAsia="Cambria" w:hAnsi="Times New Roman"/>
        </w:rPr>
      </w:pPr>
      <w:r w:rsidRPr="00BB4320">
        <w:rPr>
          <w:rFonts w:ascii="Times New Roman" w:eastAsia="Cambria" w:hAnsi="Times New Roman"/>
        </w:rPr>
        <w:t xml:space="preserve">La disposition </w:t>
      </w:r>
      <w:r w:rsidR="005868D1" w:rsidRPr="00BB4320">
        <w:rPr>
          <w:rFonts w:ascii="Times New Roman" w:eastAsia="Cambria" w:hAnsi="Times New Roman"/>
        </w:rPr>
        <w:t xml:space="preserve">sur le publireportage </w:t>
      </w:r>
      <w:r w:rsidRPr="00BB4320">
        <w:rPr>
          <w:rFonts w:ascii="Times New Roman" w:eastAsia="Cambria" w:hAnsi="Times New Roman"/>
        </w:rPr>
        <w:t>a été entièrement amendée. Il y était mentionné que l</w:t>
      </w:r>
      <w:r w:rsidR="001C14B5" w:rsidRPr="00BB4320">
        <w:rPr>
          <w:rFonts w:ascii="Times New Roman" w:eastAsia="Cambria" w:hAnsi="Times New Roman"/>
        </w:rPr>
        <w:t>es publireportages sont soumis à la validation préalable du Régulateur.</w:t>
      </w:r>
      <w:r w:rsidRPr="00BB4320">
        <w:rPr>
          <w:rFonts w:ascii="Times New Roman" w:eastAsia="Cambria" w:hAnsi="Times New Roman"/>
        </w:rPr>
        <w:t xml:space="preserve"> Ceci est supprimé pour des raisons déjà évoquées plus haut. L’amendement est le suivant : </w:t>
      </w:r>
      <w:r w:rsidR="00880364" w:rsidRPr="00BB4320">
        <w:rPr>
          <w:rFonts w:ascii="Times New Roman" w:eastAsia="Cambria" w:hAnsi="Times New Roman"/>
        </w:rPr>
        <w:t>« </w:t>
      </w:r>
      <w:r w:rsidR="001C14B5" w:rsidRPr="00BB4320">
        <w:rPr>
          <w:rFonts w:ascii="Times New Roman" w:eastAsia="Cambria" w:hAnsi="Times New Roman"/>
        </w:rPr>
        <w:t xml:space="preserve">La diffusion des publireportages </w:t>
      </w:r>
      <w:r w:rsidRPr="00BB4320">
        <w:rPr>
          <w:rFonts w:ascii="Times New Roman" w:eastAsia="Cambria" w:hAnsi="Times New Roman"/>
        </w:rPr>
        <w:t>est</w:t>
      </w:r>
      <w:r w:rsidR="001C14B5" w:rsidRPr="00BB4320">
        <w:rPr>
          <w:rFonts w:ascii="Times New Roman" w:eastAsia="Cambria" w:hAnsi="Times New Roman"/>
        </w:rPr>
        <w:t xml:space="preserve"> </w:t>
      </w:r>
      <w:r w:rsidRPr="00BB4320">
        <w:rPr>
          <w:rFonts w:ascii="Times New Roman" w:eastAsia="Cambria" w:hAnsi="Times New Roman"/>
        </w:rPr>
        <w:t>admise</w:t>
      </w:r>
      <w:r w:rsidR="001C14B5" w:rsidRPr="00BB4320">
        <w:rPr>
          <w:rFonts w:ascii="Times New Roman" w:eastAsia="Cambria" w:hAnsi="Times New Roman"/>
        </w:rPr>
        <w:t xml:space="preserve"> dans les médias.</w:t>
      </w:r>
      <w:r w:rsidRPr="00BB4320">
        <w:rPr>
          <w:rFonts w:ascii="Times New Roman" w:eastAsia="Cambria" w:hAnsi="Times New Roman"/>
        </w:rPr>
        <w:t> »</w:t>
      </w:r>
    </w:p>
    <w:p w14:paraId="199E5899" w14:textId="32019789" w:rsidR="00880364" w:rsidRPr="00880364" w:rsidRDefault="00880364" w:rsidP="00BB4320">
      <w:pPr>
        <w:shd w:val="clear" w:color="auto" w:fill="FFFFFF"/>
        <w:spacing w:before="240" w:after="240" w:line="360" w:lineRule="auto"/>
        <w:jc w:val="both"/>
        <w:rPr>
          <w:rFonts w:ascii="Times New Roman" w:eastAsia="Cambria" w:hAnsi="Times New Roman"/>
        </w:rPr>
      </w:pPr>
      <w:r w:rsidRPr="00880364">
        <w:rPr>
          <w:rFonts w:ascii="Times New Roman" w:eastAsia="Cambria" w:hAnsi="Times New Roman"/>
        </w:rPr>
        <w:t xml:space="preserve">Le titre III du projet </w:t>
      </w:r>
      <w:r w:rsidR="006755D1">
        <w:rPr>
          <w:rFonts w:ascii="Times New Roman" w:eastAsia="Cambria" w:hAnsi="Times New Roman"/>
        </w:rPr>
        <w:t xml:space="preserve">de loi </w:t>
      </w:r>
      <w:r w:rsidRPr="00880364">
        <w:rPr>
          <w:rFonts w:ascii="Times New Roman" w:eastAsia="Cambria" w:hAnsi="Times New Roman"/>
        </w:rPr>
        <w:t>traitant du régime des infractions publicitaires et de leur répression est entièrement amendé. En effet, dans cette partie du texte, il est traité des dispositions pénales. Sauf que le texte de base ne mentionnait que les interdictions et était muet sur les sanctions y afférentes. En effet, sur les seize (16) interdits, constitutifs de délits de publicité, treize (13) n’étaient pas sanctionnés dans le projet de Loi.</w:t>
      </w:r>
    </w:p>
    <w:p w14:paraId="6AB993F6" w14:textId="163234C1" w:rsidR="00880364" w:rsidRPr="00880364" w:rsidRDefault="00880364" w:rsidP="00BB4320">
      <w:pPr>
        <w:shd w:val="clear" w:color="auto" w:fill="FFFFFF"/>
        <w:spacing w:after="240" w:line="360" w:lineRule="auto"/>
        <w:jc w:val="both"/>
        <w:rPr>
          <w:rFonts w:ascii="Times New Roman" w:eastAsia="Cambria" w:hAnsi="Times New Roman"/>
        </w:rPr>
      </w:pPr>
      <w:r w:rsidRPr="00880364">
        <w:rPr>
          <w:rFonts w:ascii="Times New Roman" w:eastAsia="Cambria" w:hAnsi="Times New Roman"/>
        </w:rPr>
        <w:t>Ainsi, à la suite de la première séance d’inter-commission avec le ministère de l’Information et de la Communication, deux cadres dudit ministère ont été désignés pour se joindre à la Commission de fond en vue de s’accorder sur les sanctions à infliger aux interdictions. Ce qui a permis d’introduire des sanctions d’ordre pénal, civil et disciplinaire en fonction des infractions identifiées</w:t>
      </w:r>
      <w:r w:rsidRPr="00BB4320">
        <w:rPr>
          <w:rFonts w:ascii="Times New Roman" w:eastAsia="Cambria" w:hAnsi="Times New Roman"/>
        </w:rPr>
        <w:t>.</w:t>
      </w:r>
    </w:p>
    <w:p w14:paraId="6C6E2EEA" w14:textId="4C597A64" w:rsidR="00880364" w:rsidRPr="00880364" w:rsidRDefault="00880364" w:rsidP="00BB4320">
      <w:pPr>
        <w:shd w:val="clear" w:color="auto" w:fill="FFFFFF"/>
        <w:spacing w:after="240" w:line="360" w:lineRule="auto"/>
        <w:jc w:val="both"/>
        <w:rPr>
          <w:rFonts w:ascii="Times New Roman" w:eastAsia="Cambria" w:hAnsi="Times New Roman"/>
        </w:rPr>
      </w:pPr>
      <w:r w:rsidRPr="00880364">
        <w:rPr>
          <w:rFonts w:ascii="Times New Roman" w:eastAsia="Cambria" w:hAnsi="Times New Roman"/>
        </w:rPr>
        <w:t>Aussi, suite à des recherches dans le Code pénal, d’autres infractions en matière de publicité ont été identifiées et rajoutées dans le projet de Loi. Il s’agit notamment de l’interdiction de la publicité en faveur de l’eugénisme ou du clonage reproductif (art. 203 du Code pénal), ainsi que l’interdiction d’utiliser comme support de publicité des pièces de monnaie ou billets de banque ayant cours légal en Guinée ou émis par les institutions étrangères ou internationales habilitées à cette fin (art. 986 du Code pénal).</w:t>
      </w:r>
    </w:p>
    <w:p w14:paraId="5A46D589" w14:textId="0F601617" w:rsidR="00880364" w:rsidRPr="00BB4320" w:rsidRDefault="00880364" w:rsidP="00BB4320">
      <w:pPr>
        <w:shd w:val="clear" w:color="auto" w:fill="FFFFFF"/>
        <w:spacing w:after="240" w:line="360" w:lineRule="auto"/>
        <w:jc w:val="both"/>
        <w:rPr>
          <w:rFonts w:ascii="Times New Roman" w:eastAsia="Cambria" w:hAnsi="Times New Roman"/>
        </w:rPr>
      </w:pPr>
      <w:r w:rsidRPr="00880364">
        <w:rPr>
          <w:rFonts w:ascii="Times New Roman" w:eastAsia="Cambria" w:hAnsi="Times New Roman"/>
        </w:rPr>
        <w:t>Par ailleurs sur la restructuration du texte, toutes les interdictions qui étaient éparpillées dans le projet sont identifiées et ramenées dans le chapitre premier du Titre III. De même, les infractions publicitaires sont réunies dans le chapitre 2 du Titre III et organisées autour de deux catégories : délit de publicité et délit de concurrence déloyale en publicité.</w:t>
      </w:r>
    </w:p>
    <w:p w14:paraId="1F222C82" w14:textId="33E3FA81" w:rsidR="006A542D" w:rsidRPr="00BB4320" w:rsidRDefault="00880364" w:rsidP="00BB4320">
      <w:pPr>
        <w:spacing w:line="360" w:lineRule="auto"/>
        <w:jc w:val="both"/>
        <w:rPr>
          <w:rFonts w:ascii="Times New Roman" w:eastAsia="Cambria" w:hAnsi="Times New Roman"/>
        </w:rPr>
      </w:pPr>
      <w:r w:rsidRPr="00BB4320">
        <w:rPr>
          <w:rFonts w:ascii="Times New Roman" w:eastAsia="Cambria" w:hAnsi="Times New Roman"/>
        </w:rPr>
        <w:t>Par conséquent</w:t>
      </w:r>
      <w:r w:rsidR="006F50D7" w:rsidRPr="00BB4320">
        <w:rPr>
          <w:rFonts w:ascii="Times New Roman" w:eastAsia="Cambria" w:hAnsi="Times New Roman"/>
        </w:rPr>
        <w:t>,</w:t>
      </w:r>
      <w:r w:rsidR="00E82F4C" w:rsidRPr="00BB4320">
        <w:rPr>
          <w:rFonts w:ascii="Times New Roman" w:eastAsia="Cambria" w:hAnsi="Times New Roman"/>
        </w:rPr>
        <w:t xml:space="preserve"> l</w:t>
      </w:r>
      <w:r w:rsidR="006A542D" w:rsidRPr="00BB4320">
        <w:rPr>
          <w:rFonts w:ascii="Times New Roman" w:eastAsia="Cambria" w:hAnsi="Times New Roman"/>
        </w:rPr>
        <w:t xml:space="preserve">e régime de sanctions introduit au projet de loi se présente comme suit : </w:t>
      </w:r>
    </w:p>
    <w:p w14:paraId="2049255A" w14:textId="09DD7FC3" w:rsidR="007F649E" w:rsidRPr="00BB4320" w:rsidRDefault="007A7CE4" w:rsidP="00BB4320">
      <w:pPr>
        <w:spacing w:before="240" w:after="240" w:line="360" w:lineRule="auto"/>
        <w:jc w:val="both"/>
        <w:rPr>
          <w:rFonts w:ascii="Times New Roman" w:eastAsia="Cambria" w:hAnsi="Times New Roman"/>
          <w:b/>
          <w:bCs/>
        </w:rPr>
      </w:pPr>
      <w:r w:rsidRPr="00BB4320">
        <w:rPr>
          <w:rFonts w:ascii="Times New Roman" w:eastAsia="Cambria" w:hAnsi="Times New Roman"/>
          <w:b/>
          <w:bCs/>
        </w:rPr>
        <w:t>D</w:t>
      </w:r>
      <w:r w:rsidR="008116CD" w:rsidRPr="00BB4320">
        <w:rPr>
          <w:rFonts w:ascii="Times New Roman" w:eastAsia="Cambria" w:hAnsi="Times New Roman"/>
          <w:b/>
          <w:bCs/>
        </w:rPr>
        <w:t>es interdictions </w:t>
      </w:r>
      <w:r w:rsidRPr="00BB4320">
        <w:rPr>
          <w:rFonts w:ascii="Times New Roman" w:eastAsia="Cambria" w:hAnsi="Times New Roman"/>
          <w:b/>
          <w:bCs/>
        </w:rPr>
        <w:t>en matière de publicité</w:t>
      </w:r>
    </w:p>
    <w:p w14:paraId="25D1AEAE" w14:textId="15F30B9E" w:rsidR="008116CD" w:rsidRPr="00BB4320" w:rsidRDefault="0001477B" w:rsidP="00BB4320">
      <w:pPr>
        <w:pStyle w:val="Paragraphedeliste"/>
        <w:numPr>
          <w:ilvl w:val="0"/>
          <w:numId w:val="16"/>
        </w:numPr>
        <w:spacing w:after="240" w:line="360" w:lineRule="auto"/>
        <w:jc w:val="both"/>
        <w:rPr>
          <w:rFonts w:ascii="Times New Roman" w:eastAsia="Cambria" w:hAnsi="Times New Roman"/>
        </w:rPr>
      </w:pPr>
      <w:r w:rsidRPr="00BB4320">
        <w:rPr>
          <w:rFonts w:ascii="Times New Roman" w:hAnsi="Times New Roman"/>
          <w:color w:val="222222"/>
          <w:shd w:val="clear" w:color="auto" w:fill="FFFFFF"/>
        </w:rPr>
        <w:t>S’agissant des limites générales à l’exercice de la profession de publicitaire, l’article sur l’interdiction d’exercice illicite de la profession publicitaire, le premier alinéa qui disposait « Constitue un délit, l’exécution de toute opération de publicité interdite par la Loi. » est amendé comme suit : « Est illicite, toute opération de publicité contraire aux conditions d’exercice de la profession publicitaire, telles que prévues par les dispositions de la présente Loi. » devenant le deuxième alinéa après celui indiquant que « L’exercice illicite de la profession publicitaire sur toute l’étendue du territoire national est interdit. »</w:t>
      </w:r>
    </w:p>
    <w:p w14:paraId="1E660BC1" w14:textId="28115769" w:rsidR="007F649E" w:rsidRPr="00BB4320" w:rsidRDefault="007F649E" w:rsidP="00BB4320">
      <w:pPr>
        <w:pStyle w:val="Paragraphedeliste"/>
        <w:numPr>
          <w:ilvl w:val="0"/>
          <w:numId w:val="16"/>
        </w:numPr>
        <w:spacing w:line="360" w:lineRule="auto"/>
        <w:jc w:val="both"/>
        <w:textAlignment w:val="baseline"/>
        <w:rPr>
          <w:rFonts w:ascii="Times New Roman" w:eastAsia="Cambria" w:hAnsi="Times New Roman"/>
        </w:rPr>
      </w:pPr>
      <w:r w:rsidRPr="00BB4320">
        <w:rPr>
          <w:rFonts w:ascii="Times New Roman" w:eastAsia="Cambria" w:hAnsi="Times New Roman"/>
        </w:rPr>
        <w:t xml:space="preserve">Aussi à l’interdiction de la publicité sur certains sujets, une disposition est introduite, pour interdire </w:t>
      </w:r>
      <w:r w:rsidR="00737D33">
        <w:rPr>
          <w:rFonts w:ascii="Times New Roman" w:eastAsia="Cambria" w:hAnsi="Times New Roman"/>
        </w:rPr>
        <w:t xml:space="preserve">celle </w:t>
      </w:r>
      <w:r w:rsidRPr="00BB4320">
        <w:rPr>
          <w:rFonts w:ascii="Times New Roman" w:eastAsia="Cambria" w:hAnsi="Times New Roman"/>
        </w:rPr>
        <w:t>sur l’eugénisme ou le clonage reproductif.</w:t>
      </w:r>
    </w:p>
    <w:p w14:paraId="565DA804" w14:textId="038D57A5" w:rsidR="008116CD" w:rsidRPr="00BB4320" w:rsidRDefault="007F649E" w:rsidP="00BB4320">
      <w:pPr>
        <w:pStyle w:val="Paragraphedeliste"/>
        <w:numPr>
          <w:ilvl w:val="0"/>
          <w:numId w:val="16"/>
        </w:numPr>
        <w:spacing w:after="240" w:line="360" w:lineRule="auto"/>
        <w:jc w:val="both"/>
        <w:rPr>
          <w:rFonts w:ascii="Times New Roman" w:eastAsia="Cambria" w:hAnsi="Times New Roman"/>
        </w:rPr>
      </w:pPr>
      <w:r w:rsidRPr="00BB4320">
        <w:rPr>
          <w:rFonts w:ascii="Times New Roman" w:eastAsia="Cambria" w:hAnsi="Times New Roman"/>
        </w:rPr>
        <w:t xml:space="preserve">A l’interdiction d’utilisation de l’image et de la voix de certaines catégories de personnes, </w:t>
      </w:r>
      <w:r w:rsidR="005D335B" w:rsidRPr="00BB4320">
        <w:rPr>
          <w:rFonts w:ascii="Times New Roman" w:eastAsia="Cambria" w:hAnsi="Times New Roman"/>
        </w:rPr>
        <w:t>l’interdiction d’utilisation de la voix et de l’image des journalistes des médias publics est généralisée à tous les journalistes y compris ceux des privés.</w:t>
      </w:r>
    </w:p>
    <w:p w14:paraId="4FC4E8A1" w14:textId="7E2B2CD2" w:rsidR="005D335B" w:rsidRPr="00BB4320" w:rsidRDefault="005D335B" w:rsidP="00BB4320">
      <w:pPr>
        <w:pStyle w:val="Paragraphedeliste"/>
        <w:numPr>
          <w:ilvl w:val="0"/>
          <w:numId w:val="16"/>
        </w:numPr>
        <w:spacing w:line="360" w:lineRule="auto"/>
        <w:ind w:right="43"/>
        <w:jc w:val="both"/>
        <w:rPr>
          <w:rFonts w:ascii="Times New Roman" w:eastAsia="Cambria" w:hAnsi="Times New Roman"/>
        </w:rPr>
      </w:pPr>
      <w:r w:rsidRPr="00BB4320">
        <w:rPr>
          <w:rFonts w:ascii="Times New Roman" w:eastAsia="Cambria" w:hAnsi="Times New Roman"/>
        </w:rPr>
        <w:t>A l’interdiction d’utilisation d’une image dégradante de la femme, trois alinéas sont rajoutés et sont les suivants : 1- Tout message publicitaire de nature à provoquer le mépris, le ridicule ou le discrédit à l'égard de la femme est interdit. 2- Aucun message publicitaire ne doit contenir des dénigrements directs ou indirects à l'encontre de la femme. 3- Aucun message publicitaire ne doit suggérer l'idée d'une infériorité ou d'une subordination matérielle de la femme à l'homme et réduire son rôle à l'entretien du foyer ou à des tâches purement ménagères, en méconnaissance de ses aptitudes et de ses aspirations.</w:t>
      </w:r>
    </w:p>
    <w:p w14:paraId="0AFFFADC" w14:textId="77777777" w:rsidR="009B14D3" w:rsidRPr="00BB4320" w:rsidRDefault="009B14D3" w:rsidP="00BB4320">
      <w:pPr>
        <w:pStyle w:val="Paragraphedeliste"/>
        <w:numPr>
          <w:ilvl w:val="0"/>
          <w:numId w:val="16"/>
        </w:numPr>
        <w:spacing w:after="240" w:line="360" w:lineRule="auto"/>
        <w:jc w:val="both"/>
        <w:rPr>
          <w:rFonts w:ascii="Times New Roman" w:eastAsia="Cambria" w:hAnsi="Times New Roman"/>
        </w:rPr>
      </w:pPr>
      <w:r w:rsidRPr="00BB4320">
        <w:rPr>
          <w:rFonts w:ascii="Times New Roman" w:eastAsia="Cambria" w:hAnsi="Times New Roman"/>
        </w:rPr>
        <w:t xml:space="preserve">L’article 72 ancien (58) relatif à l’interdiction de la publicité sur les sources d’énergie est supprimé. La notion publicité sur </w:t>
      </w:r>
      <w:r w:rsidRPr="00696F72">
        <w:rPr>
          <w:rFonts w:ascii="Times New Roman" w:eastAsia="Cambria" w:hAnsi="Times New Roman"/>
        </w:rPr>
        <w:t>la consommation abusive de l’énergie</w:t>
      </w:r>
      <w:r w:rsidRPr="00BB4320">
        <w:rPr>
          <w:rFonts w:ascii="Times New Roman" w:eastAsia="Cambria" w:hAnsi="Times New Roman"/>
        </w:rPr>
        <w:t xml:space="preserve"> étant indéterminée.</w:t>
      </w:r>
    </w:p>
    <w:p w14:paraId="35D6B2DE" w14:textId="66BC6290" w:rsidR="005D335B" w:rsidRPr="00BB4320" w:rsidRDefault="009B14D3" w:rsidP="00BB4320">
      <w:pPr>
        <w:pStyle w:val="Paragraphedeliste"/>
        <w:numPr>
          <w:ilvl w:val="0"/>
          <w:numId w:val="16"/>
        </w:numPr>
        <w:spacing w:after="240" w:line="360" w:lineRule="auto"/>
        <w:jc w:val="both"/>
        <w:textAlignment w:val="baseline"/>
        <w:rPr>
          <w:rFonts w:ascii="Times New Roman" w:eastAsia="Cambria" w:hAnsi="Times New Roman"/>
        </w:rPr>
      </w:pPr>
      <w:r w:rsidRPr="00BB4320">
        <w:rPr>
          <w:rFonts w:ascii="Times New Roman" w:eastAsia="Cambria" w:hAnsi="Times New Roman"/>
        </w:rPr>
        <w:t>A la disposition sur l’interdiction de publicité sur les établissements sanitaires, il est ajouté les activités des guérisseurs traditionnels et tradipraticiens.</w:t>
      </w:r>
    </w:p>
    <w:p w14:paraId="0C2EFDC6" w14:textId="3A900CE8" w:rsidR="0000420E" w:rsidRPr="00BB4320" w:rsidRDefault="000A737E" w:rsidP="00BB4320">
      <w:pPr>
        <w:pStyle w:val="Paragraphedeliste"/>
        <w:numPr>
          <w:ilvl w:val="0"/>
          <w:numId w:val="16"/>
        </w:numPr>
        <w:spacing w:after="240" w:line="360" w:lineRule="auto"/>
        <w:jc w:val="both"/>
        <w:textAlignment w:val="baseline"/>
        <w:rPr>
          <w:rFonts w:ascii="Times New Roman" w:eastAsia="Cambria" w:hAnsi="Times New Roman"/>
        </w:rPr>
      </w:pPr>
      <w:r w:rsidRPr="00BB4320">
        <w:rPr>
          <w:rFonts w:ascii="Times New Roman" w:hAnsi="Times New Roman"/>
          <w:color w:val="222222"/>
          <w:shd w:val="clear" w:color="auto" w:fill="FFFFFF"/>
        </w:rPr>
        <w:t xml:space="preserve">A l’article traitant de la restriction de la publicité sur les boissons alcoolisées, la phrase « sous réserve de dispositions particulières et de dérogations légales relatives aux boissons alcoolisées » est rajoutée et prend en compte le Barteling notamment qui est une coopération inter-télévisuelle et qui permet à une télévision locale de présenter la publicité d’un produit (tabac ou alcool) afin de bénéficier en retour des droits de diffusion de grands événements culturels ou sportifs.  En somme, les publicités sur des chaines internationales dont la Guinée ne peut contrôler la diffusion au risque de perdre les droits de diffusion de certains événements vivement attendus par les téléspectateurs </w:t>
      </w:r>
      <w:r w:rsidR="00BB4320" w:rsidRPr="00BB4320">
        <w:rPr>
          <w:rFonts w:ascii="Times New Roman" w:hAnsi="Times New Roman"/>
          <w:color w:val="222222"/>
          <w:shd w:val="clear" w:color="auto" w:fill="FFFFFF"/>
        </w:rPr>
        <w:t>guinéens.</w:t>
      </w:r>
    </w:p>
    <w:p w14:paraId="24CB0DD5" w14:textId="77777777" w:rsidR="002C418E" w:rsidRPr="00BB4320" w:rsidRDefault="002C418E" w:rsidP="00BB4320">
      <w:pPr>
        <w:pStyle w:val="Titre3"/>
        <w:spacing w:after="240" w:line="360" w:lineRule="auto"/>
        <w:jc w:val="both"/>
        <w:rPr>
          <w:rFonts w:ascii="Times New Roman" w:eastAsia="Cambria" w:hAnsi="Times New Roman" w:cs="Times New Roman"/>
          <w:b/>
          <w:bCs/>
          <w:color w:val="auto"/>
          <w:lang w:eastAsia="fr-FR"/>
        </w:rPr>
      </w:pPr>
      <w:bookmarkStart w:id="2" w:name="_Hlk155716692"/>
      <w:r w:rsidRPr="00BB4320">
        <w:rPr>
          <w:rFonts w:ascii="Times New Roman" w:eastAsia="Cambria" w:hAnsi="Times New Roman" w:cs="Times New Roman"/>
          <w:b/>
          <w:bCs/>
          <w:color w:val="auto"/>
          <w:lang w:eastAsia="fr-FR"/>
        </w:rPr>
        <w:t>De la répression des délits de publicité</w:t>
      </w:r>
    </w:p>
    <w:p w14:paraId="2EF02677" w14:textId="77777777" w:rsidR="006A542D" w:rsidRPr="00BB4320" w:rsidRDefault="006A542D" w:rsidP="00BB4320">
      <w:pPr>
        <w:pStyle w:val="Paragraphedeliste"/>
        <w:numPr>
          <w:ilvl w:val="0"/>
          <w:numId w:val="16"/>
        </w:numPr>
        <w:spacing w:after="240" w:line="360" w:lineRule="auto"/>
        <w:jc w:val="both"/>
        <w:textAlignment w:val="baseline"/>
        <w:rPr>
          <w:rFonts w:ascii="Times New Roman" w:eastAsia="Cambria" w:hAnsi="Times New Roman"/>
        </w:rPr>
      </w:pPr>
      <w:r w:rsidRPr="00BB4320">
        <w:rPr>
          <w:rFonts w:ascii="Times New Roman" w:eastAsia="Cambria" w:hAnsi="Times New Roman"/>
          <w:b/>
          <w:bCs/>
        </w:rPr>
        <w:t xml:space="preserve">L’exercice illicite de la profession publicitaire </w:t>
      </w:r>
      <w:r w:rsidRPr="00BB4320">
        <w:rPr>
          <w:rFonts w:ascii="Times New Roman" w:eastAsia="Cambria" w:hAnsi="Times New Roman"/>
        </w:rPr>
        <w:t>est puni d’une peine d’amende de 100.000.000 à 150.000.000 de francs guinéens.</w:t>
      </w:r>
    </w:p>
    <w:p w14:paraId="4E00623F" w14:textId="77777777" w:rsidR="006A542D" w:rsidRPr="00BB4320" w:rsidRDefault="006A542D" w:rsidP="00BB4320">
      <w:pPr>
        <w:pStyle w:val="Paragraphedeliste"/>
        <w:numPr>
          <w:ilvl w:val="0"/>
          <w:numId w:val="16"/>
        </w:numPr>
        <w:spacing w:after="240" w:line="360" w:lineRule="auto"/>
        <w:jc w:val="both"/>
        <w:textAlignment w:val="baseline"/>
        <w:rPr>
          <w:rFonts w:ascii="Times New Roman" w:eastAsia="Cambria" w:hAnsi="Times New Roman"/>
        </w:rPr>
      </w:pPr>
      <w:r w:rsidRPr="00BB4320">
        <w:rPr>
          <w:rFonts w:ascii="Times New Roman" w:eastAsia="Cambria" w:hAnsi="Times New Roman"/>
          <w:b/>
          <w:bCs/>
        </w:rPr>
        <w:t>Publicité sur les monuments historiques ainsi que la construction d’immeubles à affectation publicitaires</w:t>
      </w:r>
      <w:r w:rsidRPr="00BB4320">
        <w:rPr>
          <w:rFonts w:ascii="Times New Roman" w:eastAsia="Cambria" w:hAnsi="Times New Roman"/>
        </w:rPr>
        <w:t xml:space="preserve"> sont punies d’une amende de 10.000.000 à 50.000.000 de francs guinéens, pour chacune des deux infractions ;</w:t>
      </w:r>
    </w:p>
    <w:p w14:paraId="7FC5DB82" w14:textId="77777777" w:rsidR="006A542D" w:rsidRPr="00BB4320" w:rsidRDefault="006A542D" w:rsidP="00BB4320">
      <w:pPr>
        <w:pStyle w:val="Paragraphedeliste"/>
        <w:numPr>
          <w:ilvl w:val="0"/>
          <w:numId w:val="16"/>
        </w:numPr>
        <w:spacing w:after="240" w:line="360" w:lineRule="auto"/>
        <w:jc w:val="both"/>
        <w:textAlignment w:val="baseline"/>
        <w:rPr>
          <w:rFonts w:ascii="Times New Roman" w:eastAsia="Cambria" w:hAnsi="Times New Roman"/>
        </w:rPr>
      </w:pPr>
      <w:r w:rsidRPr="00BB4320">
        <w:rPr>
          <w:rFonts w:ascii="Times New Roman" w:eastAsia="Cambria" w:hAnsi="Times New Roman"/>
        </w:rPr>
        <w:t>La publicité sur certaines infrastructures publiques telles que les ponts, les panneaux de signalisations, les biens mobiliers ou immobiliers urbains est punie d’une amende de 20.000.000 à 75.000.000 de francs guinéens ;</w:t>
      </w:r>
    </w:p>
    <w:p w14:paraId="6482F526" w14:textId="77777777" w:rsidR="006A542D" w:rsidRPr="00BB4320" w:rsidRDefault="006A542D" w:rsidP="00BB4320">
      <w:pPr>
        <w:pStyle w:val="Paragraphedeliste"/>
        <w:numPr>
          <w:ilvl w:val="0"/>
          <w:numId w:val="16"/>
        </w:numPr>
        <w:spacing w:after="240" w:line="360" w:lineRule="auto"/>
        <w:jc w:val="both"/>
        <w:textAlignment w:val="baseline"/>
        <w:rPr>
          <w:rFonts w:ascii="Times New Roman" w:eastAsia="Cambria" w:hAnsi="Times New Roman"/>
        </w:rPr>
      </w:pPr>
      <w:r w:rsidRPr="00BB4320">
        <w:rPr>
          <w:rFonts w:ascii="Times New Roman" w:eastAsia="Cambria" w:hAnsi="Times New Roman"/>
          <w:b/>
          <w:bCs/>
        </w:rPr>
        <w:t>L’usage de supports publicitaires en confusion avec les signaux de circulation routière</w:t>
      </w:r>
      <w:r w:rsidRPr="00BB4320">
        <w:rPr>
          <w:rFonts w:ascii="Times New Roman" w:eastAsia="Cambria" w:hAnsi="Times New Roman"/>
        </w:rPr>
        <w:t xml:space="preserve"> est puni d’une amende de 50.000.000 à 100.000.000 de francs guinéens ;</w:t>
      </w:r>
    </w:p>
    <w:p w14:paraId="0F039471" w14:textId="77777777" w:rsidR="006A542D" w:rsidRPr="00BB4320" w:rsidRDefault="006A542D" w:rsidP="00BB4320">
      <w:pPr>
        <w:pStyle w:val="Paragraphedeliste"/>
        <w:numPr>
          <w:ilvl w:val="0"/>
          <w:numId w:val="16"/>
        </w:numPr>
        <w:spacing w:after="240" w:line="360" w:lineRule="auto"/>
        <w:jc w:val="both"/>
        <w:textAlignment w:val="baseline"/>
        <w:rPr>
          <w:rFonts w:ascii="Times New Roman" w:eastAsia="Cambria" w:hAnsi="Times New Roman"/>
        </w:rPr>
      </w:pPr>
      <w:r w:rsidRPr="00BB4320">
        <w:rPr>
          <w:rFonts w:ascii="Times New Roman" w:eastAsia="Cambria" w:hAnsi="Times New Roman"/>
          <w:b/>
          <w:bCs/>
        </w:rPr>
        <w:t>La publicité sur les produits cosmétiques dépigmentant et les produits pharmaceutiques</w:t>
      </w:r>
      <w:r w:rsidRPr="00BB4320">
        <w:rPr>
          <w:rFonts w:ascii="Times New Roman" w:eastAsia="Cambria" w:hAnsi="Times New Roman"/>
        </w:rPr>
        <w:t xml:space="preserve"> est punie d’une amende de 20.000.000 à 75.000.000 de francs guinéens ;</w:t>
      </w:r>
    </w:p>
    <w:p w14:paraId="17625A2B" w14:textId="77777777" w:rsidR="006A542D" w:rsidRPr="00BB4320" w:rsidRDefault="006A542D" w:rsidP="00BB4320">
      <w:pPr>
        <w:pStyle w:val="Paragraphedeliste"/>
        <w:numPr>
          <w:ilvl w:val="0"/>
          <w:numId w:val="16"/>
        </w:numPr>
        <w:spacing w:after="240" w:line="360" w:lineRule="auto"/>
        <w:jc w:val="both"/>
        <w:textAlignment w:val="baseline"/>
        <w:rPr>
          <w:rFonts w:ascii="Times New Roman" w:eastAsia="Cambria" w:hAnsi="Times New Roman"/>
        </w:rPr>
      </w:pPr>
      <w:r w:rsidRPr="00BB4320">
        <w:rPr>
          <w:rFonts w:ascii="Times New Roman" w:eastAsia="Cambria" w:hAnsi="Times New Roman"/>
          <w:b/>
          <w:bCs/>
        </w:rPr>
        <w:t>La publicité sur les établissements sanitaires et sur les activités des guérisseurs traditionnels et tradipraticiens</w:t>
      </w:r>
      <w:r w:rsidRPr="00BB4320">
        <w:rPr>
          <w:rFonts w:ascii="Times New Roman" w:eastAsia="Cambria" w:hAnsi="Times New Roman"/>
        </w:rPr>
        <w:t xml:space="preserve"> est punie d’une amende de 50.000.000 à 100.000.000 de francs guinéens ;</w:t>
      </w:r>
    </w:p>
    <w:p w14:paraId="3329D00E" w14:textId="77777777" w:rsidR="006A542D" w:rsidRPr="00BB4320" w:rsidRDefault="006A542D" w:rsidP="00BB4320">
      <w:pPr>
        <w:pStyle w:val="Paragraphedeliste"/>
        <w:numPr>
          <w:ilvl w:val="0"/>
          <w:numId w:val="16"/>
        </w:numPr>
        <w:spacing w:after="240" w:line="360" w:lineRule="auto"/>
        <w:jc w:val="both"/>
        <w:textAlignment w:val="baseline"/>
        <w:rPr>
          <w:rFonts w:ascii="Times New Roman" w:eastAsia="Cambria" w:hAnsi="Times New Roman"/>
        </w:rPr>
      </w:pPr>
      <w:r w:rsidRPr="00BB4320">
        <w:rPr>
          <w:rFonts w:ascii="Times New Roman" w:eastAsia="Cambria" w:hAnsi="Times New Roman"/>
          <w:b/>
          <w:bCs/>
        </w:rPr>
        <w:t>La publicité sur les produits illégaux </w:t>
      </w:r>
      <w:r w:rsidRPr="00BB4320">
        <w:rPr>
          <w:rFonts w:ascii="Times New Roman" w:eastAsia="Cambria" w:hAnsi="Times New Roman"/>
        </w:rPr>
        <w:t>est punie d’une peine d’emprisonnement de 1 à 5 ans et d’une amende de 300.000.000 à 500.000.000 de francs guinéens, ou de l’une de ces deux peines seulement.</w:t>
      </w:r>
    </w:p>
    <w:p w14:paraId="661F77E9" w14:textId="77777777" w:rsidR="006A542D" w:rsidRPr="00BB4320" w:rsidRDefault="006A542D" w:rsidP="00BB4320">
      <w:pPr>
        <w:pStyle w:val="Paragraphedeliste"/>
        <w:numPr>
          <w:ilvl w:val="0"/>
          <w:numId w:val="16"/>
        </w:numPr>
        <w:spacing w:line="360" w:lineRule="auto"/>
        <w:jc w:val="both"/>
        <w:textAlignment w:val="baseline"/>
        <w:rPr>
          <w:rFonts w:ascii="Times New Roman" w:eastAsia="Cambria" w:hAnsi="Times New Roman"/>
        </w:rPr>
      </w:pPr>
      <w:r w:rsidRPr="00BB4320">
        <w:rPr>
          <w:rFonts w:ascii="Times New Roman" w:eastAsia="Cambria" w:hAnsi="Times New Roman"/>
          <w:b/>
          <w:bCs/>
        </w:rPr>
        <w:t xml:space="preserve">La publicité sur les boissons alcoolisées, </w:t>
      </w:r>
      <w:r w:rsidRPr="00BB4320">
        <w:rPr>
          <w:rFonts w:ascii="Times New Roman" w:eastAsia="Cambria" w:hAnsi="Times New Roman"/>
          <w:shd w:val="clear" w:color="auto" w:fill="FFFFFF" w:themeFill="background1"/>
        </w:rPr>
        <w:t>sous réserve de dispositions particulières et de dérogations légales relatives aux boissons alcoolisées</w:t>
      </w:r>
      <w:r w:rsidRPr="00BB4320">
        <w:rPr>
          <w:rFonts w:ascii="Times New Roman" w:eastAsia="Cambria" w:hAnsi="Times New Roman"/>
        </w:rPr>
        <w:t>, est punie d’un emprisonnement de 3 mois à 3 ans et d’une amende de 10.000.000 à 30.000.000 de francs guinéens ou de l’une de ces deux peines seulement.</w:t>
      </w:r>
    </w:p>
    <w:p w14:paraId="604802C7" w14:textId="05876C58" w:rsidR="006A542D" w:rsidRPr="00BB4320" w:rsidRDefault="00682572" w:rsidP="00BB4320">
      <w:pPr>
        <w:pStyle w:val="Paragraphedeliste"/>
        <w:widowControl w:val="0"/>
        <w:numPr>
          <w:ilvl w:val="0"/>
          <w:numId w:val="16"/>
        </w:numPr>
        <w:autoSpaceDE w:val="0"/>
        <w:autoSpaceDN w:val="0"/>
        <w:spacing w:line="360" w:lineRule="auto"/>
        <w:ind w:right="145"/>
        <w:jc w:val="both"/>
        <w:textAlignment w:val="baseline"/>
        <w:rPr>
          <w:rFonts w:ascii="Times New Roman" w:eastAsia="Cambria" w:hAnsi="Times New Roman"/>
        </w:rPr>
      </w:pPr>
      <w:r w:rsidRPr="00BB4320">
        <w:rPr>
          <w:rFonts w:ascii="Times New Roman" w:eastAsia="Cambria" w:hAnsi="Times New Roman"/>
          <w:b/>
          <w:bCs/>
        </w:rPr>
        <w:t>La</w:t>
      </w:r>
      <w:r w:rsidR="006A542D" w:rsidRPr="00BB4320">
        <w:rPr>
          <w:rFonts w:ascii="Times New Roman" w:eastAsia="Cambria" w:hAnsi="Times New Roman"/>
          <w:b/>
          <w:bCs/>
        </w:rPr>
        <w:t xml:space="preserve"> publicité sur le tabac, s</w:t>
      </w:r>
      <w:r w:rsidR="006A542D" w:rsidRPr="00BB4320">
        <w:rPr>
          <w:rFonts w:ascii="Times New Roman" w:eastAsia="Cambria" w:hAnsi="Times New Roman"/>
        </w:rPr>
        <w:t xml:space="preserve">ans préjudice de la confiscation des articles concernés, est punie d'un emprisonnement de 15 jours à 1 an et d'une amende de 100.000.000 à 500.000.000 de francs guinéens ou de l’une de ces deux peines seulement, conformément aux dispositions de la loi relative à la commercialisation, à la consommation, à la publicité, au parrainage du tabac et de ses produits dérivés. </w:t>
      </w:r>
    </w:p>
    <w:p w14:paraId="459F8407" w14:textId="77777777" w:rsidR="006A542D" w:rsidRPr="00BB4320" w:rsidRDefault="006A542D" w:rsidP="00BB4320">
      <w:pPr>
        <w:pStyle w:val="Paragraphedeliste"/>
        <w:widowControl w:val="0"/>
        <w:numPr>
          <w:ilvl w:val="0"/>
          <w:numId w:val="16"/>
        </w:numPr>
        <w:autoSpaceDE w:val="0"/>
        <w:autoSpaceDN w:val="0"/>
        <w:spacing w:line="360" w:lineRule="auto"/>
        <w:ind w:right="145"/>
        <w:jc w:val="both"/>
        <w:textAlignment w:val="baseline"/>
        <w:rPr>
          <w:rFonts w:ascii="Times New Roman" w:eastAsia="Cambria" w:hAnsi="Times New Roman"/>
        </w:rPr>
      </w:pPr>
      <w:r w:rsidRPr="00BB4320">
        <w:rPr>
          <w:rFonts w:ascii="Times New Roman" w:eastAsia="Cambria" w:hAnsi="Times New Roman"/>
          <w:b/>
          <w:bCs/>
        </w:rPr>
        <w:t>L’omission de mentions obligatoires pour la vente du tabac e</w:t>
      </w:r>
      <w:r w:rsidRPr="00BB4320">
        <w:rPr>
          <w:rFonts w:ascii="Times New Roman" w:eastAsia="Cambria" w:hAnsi="Times New Roman"/>
        </w:rPr>
        <w:t>st punie d’un emprisonnement de 15 jours à 6 mois et d'une amende de 500.000 à 4.000.000 de francs guinéens ou de l'une de ces deux peines seulement.</w:t>
      </w:r>
    </w:p>
    <w:p w14:paraId="1398E46D" w14:textId="77777777" w:rsidR="006A542D" w:rsidRPr="00BB4320" w:rsidRDefault="006A542D" w:rsidP="00BB4320">
      <w:pPr>
        <w:pStyle w:val="Paragraphedeliste"/>
        <w:numPr>
          <w:ilvl w:val="0"/>
          <w:numId w:val="16"/>
        </w:numPr>
        <w:spacing w:line="360" w:lineRule="auto"/>
        <w:jc w:val="both"/>
        <w:textAlignment w:val="baseline"/>
        <w:rPr>
          <w:rFonts w:ascii="Times New Roman" w:eastAsia="Cambria" w:hAnsi="Times New Roman"/>
        </w:rPr>
      </w:pPr>
      <w:r w:rsidRPr="00BB4320">
        <w:rPr>
          <w:rFonts w:ascii="Times New Roman" w:eastAsia="Cambria" w:hAnsi="Times New Roman"/>
          <w:b/>
          <w:bCs/>
        </w:rPr>
        <w:t>La publicité sur les armes et munitions est</w:t>
      </w:r>
      <w:r w:rsidRPr="00BB4320">
        <w:rPr>
          <w:rFonts w:ascii="Times New Roman" w:eastAsia="Cambria" w:hAnsi="Times New Roman"/>
        </w:rPr>
        <w:t xml:space="preserve"> punie d’une peine d’emprisonnement de 1 à 3 ans et d’une amende de 30.000.000 à 100.000.000 de francs guinéens, ou de l’une de ces deux peines seulement. </w:t>
      </w:r>
    </w:p>
    <w:p w14:paraId="6B7FE1F1" w14:textId="360A3EED" w:rsidR="006A542D" w:rsidRPr="00BB4320" w:rsidRDefault="006A542D" w:rsidP="00BB4320">
      <w:pPr>
        <w:pStyle w:val="Paragraphedeliste"/>
        <w:numPr>
          <w:ilvl w:val="0"/>
          <w:numId w:val="16"/>
        </w:numPr>
        <w:spacing w:line="360" w:lineRule="auto"/>
        <w:jc w:val="both"/>
        <w:textAlignment w:val="baseline"/>
        <w:rPr>
          <w:rFonts w:ascii="Times New Roman" w:eastAsia="Cambria" w:hAnsi="Times New Roman"/>
        </w:rPr>
      </w:pPr>
      <w:r w:rsidRPr="00BB4320">
        <w:rPr>
          <w:rFonts w:ascii="Times New Roman" w:eastAsia="Cambria" w:hAnsi="Times New Roman"/>
          <w:b/>
          <w:bCs/>
        </w:rPr>
        <w:t>La publicité sur l’eugénisme et le clonage</w:t>
      </w:r>
      <w:r w:rsidRPr="00BB4320">
        <w:rPr>
          <w:rFonts w:ascii="Times New Roman" w:eastAsia="Cambria" w:hAnsi="Times New Roman"/>
        </w:rPr>
        <w:t xml:space="preserve"> </w:t>
      </w:r>
      <w:r w:rsidR="00BB4320" w:rsidRPr="00BB4320">
        <w:rPr>
          <w:rFonts w:ascii="Times New Roman" w:eastAsia="Cambria" w:hAnsi="Times New Roman"/>
        </w:rPr>
        <w:t>est</w:t>
      </w:r>
      <w:r w:rsidRPr="00BB4320">
        <w:rPr>
          <w:rFonts w:ascii="Times New Roman" w:eastAsia="Cambria" w:hAnsi="Times New Roman"/>
        </w:rPr>
        <w:t xml:space="preserve"> puni</w:t>
      </w:r>
      <w:r w:rsidR="00BB4320" w:rsidRPr="00BB4320">
        <w:rPr>
          <w:rFonts w:ascii="Times New Roman" w:eastAsia="Cambria" w:hAnsi="Times New Roman"/>
        </w:rPr>
        <w:t>e</w:t>
      </w:r>
      <w:r w:rsidRPr="00BB4320">
        <w:rPr>
          <w:rFonts w:ascii="Times New Roman" w:eastAsia="Cambria" w:hAnsi="Times New Roman"/>
        </w:rPr>
        <w:t xml:space="preserve"> d’emprisonnement de 2 à 5 ans et d'une amende de 1.000.000 à 10.000.000 de francs guinéens, ou de l’une de ces deux peines seulement.</w:t>
      </w:r>
    </w:p>
    <w:p w14:paraId="240BCB2C" w14:textId="77777777" w:rsidR="006A542D" w:rsidRPr="00BB4320" w:rsidRDefault="006A542D" w:rsidP="00BB4320">
      <w:pPr>
        <w:pStyle w:val="Paragraphedeliste"/>
        <w:numPr>
          <w:ilvl w:val="0"/>
          <w:numId w:val="16"/>
        </w:numPr>
        <w:spacing w:before="240" w:line="360" w:lineRule="auto"/>
        <w:jc w:val="both"/>
        <w:rPr>
          <w:rFonts w:ascii="Times New Roman" w:eastAsia="Cambria" w:hAnsi="Times New Roman"/>
        </w:rPr>
      </w:pPr>
      <w:r w:rsidRPr="00BB4320">
        <w:rPr>
          <w:rFonts w:ascii="Times New Roman" w:eastAsia="Cambria" w:hAnsi="Times New Roman"/>
          <w:b/>
          <w:bCs/>
        </w:rPr>
        <w:t xml:space="preserve">L’usage sans consentement de l’utilisation de l’image et de la voix </w:t>
      </w:r>
      <w:r w:rsidRPr="00BB4320">
        <w:rPr>
          <w:rFonts w:ascii="Times New Roman" w:eastAsia="Cambria" w:hAnsi="Times New Roman"/>
        </w:rPr>
        <w:t>des personnalités politiques</w:t>
      </w:r>
      <w:r w:rsidRPr="00BB4320">
        <w:rPr>
          <w:rFonts w:ascii="Times New Roman" w:eastAsia="Cambria" w:hAnsi="Times New Roman"/>
          <w:b/>
          <w:bCs/>
        </w:rPr>
        <w:t xml:space="preserve"> est</w:t>
      </w:r>
      <w:r w:rsidRPr="00BB4320">
        <w:rPr>
          <w:rFonts w:ascii="Times New Roman" w:eastAsia="Cambria" w:hAnsi="Times New Roman"/>
        </w:rPr>
        <w:t xml:space="preserve"> puni d’un emprisonnement de 3 mois à 1 an et d’une amende de 10.000.000 à 100.000.000 de francs guinéens. </w:t>
      </w:r>
    </w:p>
    <w:p w14:paraId="737E0AC2" w14:textId="77777777" w:rsidR="006A542D" w:rsidRPr="00BB4320" w:rsidRDefault="006A542D" w:rsidP="00BB4320">
      <w:pPr>
        <w:pStyle w:val="Paragraphedeliste"/>
        <w:numPr>
          <w:ilvl w:val="0"/>
          <w:numId w:val="16"/>
        </w:numPr>
        <w:spacing w:before="240" w:line="360" w:lineRule="auto"/>
        <w:jc w:val="both"/>
        <w:rPr>
          <w:rFonts w:ascii="Times New Roman" w:eastAsia="Cambria" w:hAnsi="Times New Roman"/>
        </w:rPr>
      </w:pPr>
      <w:r w:rsidRPr="00BB4320">
        <w:rPr>
          <w:rFonts w:ascii="Times New Roman" w:eastAsia="Cambria" w:hAnsi="Times New Roman"/>
          <w:b/>
          <w:bCs/>
        </w:rPr>
        <w:t>L’usage d’images et de messages de nature à porter atteinte à la dignité de la femme</w:t>
      </w:r>
      <w:r w:rsidRPr="00BB4320">
        <w:rPr>
          <w:rFonts w:ascii="Times New Roman" w:eastAsia="Cambria" w:hAnsi="Times New Roman"/>
        </w:rPr>
        <w:t xml:space="preserve"> est puni d’un emprisonnement de 3 mois à 1 an et d’une amende de 10.000.000 à 150.000.000 de francs guinéens</w:t>
      </w:r>
    </w:p>
    <w:p w14:paraId="456FA206" w14:textId="012309B1" w:rsidR="006A542D" w:rsidRPr="00BB4320" w:rsidRDefault="006A542D" w:rsidP="00BB4320">
      <w:pPr>
        <w:pStyle w:val="Paragraphedeliste"/>
        <w:numPr>
          <w:ilvl w:val="0"/>
          <w:numId w:val="16"/>
        </w:numPr>
        <w:spacing w:before="240" w:line="360" w:lineRule="auto"/>
        <w:jc w:val="both"/>
        <w:rPr>
          <w:rFonts w:ascii="Times New Roman" w:eastAsia="Cambria" w:hAnsi="Times New Roman"/>
        </w:rPr>
      </w:pPr>
      <w:r w:rsidRPr="00BB4320">
        <w:rPr>
          <w:rFonts w:ascii="Times New Roman" w:eastAsia="Cambria" w:hAnsi="Times New Roman"/>
          <w:b/>
          <w:bCs/>
        </w:rPr>
        <w:t xml:space="preserve">La publicité ne respectant </w:t>
      </w:r>
      <w:r w:rsidR="00737D33">
        <w:rPr>
          <w:rFonts w:ascii="Times New Roman" w:eastAsia="Cambria" w:hAnsi="Times New Roman"/>
          <w:b/>
          <w:bCs/>
        </w:rPr>
        <w:t xml:space="preserve">pas </w:t>
      </w:r>
      <w:r w:rsidRPr="00BB4320">
        <w:rPr>
          <w:rFonts w:ascii="Times New Roman" w:eastAsia="Cambria" w:hAnsi="Times New Roman"/>
          <w:b/>
          <w:bCs/>
        </w:rPr>
        <w:t>les restrictions relatives aux mineurs</w:t>
      </w:r>
      <w:r w:rsidRPr="00BB4320">
        <w:rPr>
          <w:rFonts w:ascii="Times New Roman" w:eastAsia="Cambria" w:hAnsi="Times New Roman"/>
        </w:rPr>
        <w:t xml:space="preserve"> est punie d’un emprisonnement de 3 mois à 1 an et d’une amende de 10.000.000 à 100.000.000 de francs guinéens.</w:t>
      </w:r>
    </w:p>
    <w:p w14:paraId="66A7893C" w14:textId="77777777" w:rsidR="006A542D" w:rsidRPr="00BB4320" w:rsidRDefault="006A542D" w:rsidP="00BB4320">
      <w:pPr>
        <w:pStyle w:val="Titre3"/>
        <w:spacing w:after="240" w:line="360" w:lineRule="auto"/>
        <w:jc w:val="both"/>
        <w:rPr>
          <w:rFonts w:ascii="Times New Roman" w:eastAsia="Cambria" w:hAnsi="Times New Roman" w:cs="Times New Roman"/>
          <w:b/>
          <w:bCs/>
          <w:color w:val="auto"/>
          <w:lang w:eastAsia="fr-FR"/>
        </w:rPr>
      </w:pPr>
      <w:r w:rsidRPr="00BB4320">
        <w:rPr>
          <w:rFonts w:ascii="Times New Roman" w:eastAsia="Cambria" w:hAnsi="Times New Roman" w:cs="Times New Roman"/>
          <w:b/>
          <w:bCs/>
          <w:color w:val="auto"/>
          <w:lang w:eastAsia="fr-FR"/>
        </w:rPr>
        <w:t>De la répression de la concurrence déloyale en matière de publicité</w:t>
      </w:r>
    </w:p>
    <w:p w14:paraId="4448A075" w14:textId="77777777" w:rsidR="006A542D" w:rsidRPr="00BB4320" w:rsidRDefault="006A542D" w:rsidP="00BB4320">
      <w:pPr>
        <w:pStyle w:val="Paragraphedeliste"/>
        <w:numPr>
          <w:ilvl w:val="0"/>
          <w:numId w:val="16"/>
        </w:numPr>
        <w:spacing w:line="360" w:lineRule="auto"/>
        <w:ind w:left="708"/>
        <w:jc w:val="both"/>
        <w:textAlignment w:val="baseline"/>
        <w:rPr>
          <w:rFonts w:ascii="Times New Roman" w:eastAsia="Cambria" w:hAnsi="Times New Roman"/>
        </w:rPr>
      </w:pPr>
      <w:r w:rsidRPr="00BB4320">
        <w:rPr>
          <w:rFonts w:ascii="Times New Roman" w:eastAsia="Cambria" w:hAnsi="Times New Roman"/>
          <w:b/>
          <w:bCs/>
        </w:rPr>
        <w:t>La concurrence déloyale en matière de publicité e</w:t>
      </w:r>
      <w:r w:rsidRPr="00BB4320">
        <w:rPr>
          <w:rFonts w:ascii="Times New Roman" w:eastAsia="Cambria" w:hAnsi="Times New Roman"/>
        </w:rPr>
        <w:t xml:space="preserve">st punie, conformément aux dispositions des articles 477 et 478 du Code pénal, d’un emprisonnement de 3 mois à 1 an et d'une amende de 10.000.000 à 100.000.000 de francs guinéens, ou de l’une de ces deux peines seulement. </w:t>
      </w:r>
      <w:r w:rsidRPr="00BB4320">
        <w:rPr>
          <w:rFonts w:ascii="Times New Roman" w:eastAsia="Cambria" w:hAnsi="Times New Roman"/>
          <w:b/>
          <w:bCs/>
        </w:rPr>
        <w:t>En cas De circonstances aggravantes de la concurrence déloyale en matière de publicité, l</w:t>
      </w:r>
      <w:r w:rsidRPr="00BB4320">
        <w:rPr>
          <w:rFonts w:ascii="Times New Roman" w:eastAsia="Cambria" w:hAnsi="Times New Roman"/>
        </w:rPr>
        <w:t>e maximum de cette peine est porté au double.</w:t>
      </w:r>
    </w:p>
    <w:p w14:paraId="3140844B" w14:textId="77777777" w:rsidR="006A542D" w:rsidRPr="00BB4320" w:rsidRDefault="006A542D" w:rsidP="00BB4320">
      <w:pPr>
        <w:pStyle w:val="Paragraphedeliste"/>
        <w:spacing w:line="360" w:lineRule="auto"/>
        <w:ind w:left="708"/>
        <w:jc w:val="both"/>
        <w:textAlignment w:val="baseline"/>
        <w:rPr>
          <w:rFonts w:ascii="Times New Roman" w:eastAsia="Cambria" w:hAnsi="Times New Roman"/>
        </w:rPr>
      </w:pPr>
      <w:r w:rsidRPr="00BB4320">
        <w:rPr>
          <w:rFonts w:ascii="Times New Roman" w:eastAsia="Cambria" w:hAnsi="Times New Roman"/>
          <w:b/>
          <w:bCs/>
        </w:rPr>
        <w:t xml:space="preserve">De la sanction civile de la concurrence déloyale en matière de publicité : </w:t>
      </w:r>
      <w:r w:rsidRPr="00BB4320">
        <w:rPr>
          <w:rFonts w:ascii="Times New Roman" w:eastAsia="Cambria" w:hAnsi="Times New Roman"/>
        </w:rPr>
        <w:t>toute personne reconnue coupable d’un acte de concurrence déloyale ou de publicité mensongère ou trompeuse est condamnée au paiement de dommages et intérêts conformément au droit commun.</w:t>
      </w:r>
    </w:p>
    <w:p w14:paraId="131FF848" w14:textId="77777777" w:rsidR="006A542D" w:rsidRPr="00BB4320" w:rsidRDefault="006A542D" w:rsidP="00BB4320">
      <w:pPr>
        <w:pStyle w:val="Titre3"/>
        <w:spacing w:after="240" w:line="360" w:lineRule="auto"/>
        <w:jc w:val="both"/>
        <w:rPr>
          <w:rFonts w:ascii="Times New Roman" w:eastAsia="Cambria" w:hAnsi="Times New Roman" w:cs="Times New Roman"/>
          <w:b/>
          <w:bCs/>
          <w:color w:val="auto"/>
          <w:lang w:eastAsia="fr-FR"/>
        </w:rPr>
      </w:pPr>
      <w:r w:rsidRPr="00BB4320">
        <w:rPr>
          <w:rFonts w:ascii="Times New Roman" w:eastAsia="Cambria" w:hAnsi="Times New Roman" w:cs="Times New Roman"/>
          <w:b/>
          <w:bCs/>
          <w:color w:val="auto"/>
          <w:lang w:eastAsia="fr-FR"/>
        </w:rPr>
        <w:t xml:space="preserve">Des sanctions non délictuelles des publicités interdites </w:t>
      </w:r>
    </w:p>
    <w:p w14:paraId="4C849D20" w14:textId="77777777" w:rsidR="006A542D" w:rsidRPr="00BB4320" w:rsidRDefault="006A542D" w:rsidP="00BB4320">
      <w:pPr>
        <w:pStyle w:val="Paragraphedeliste"/>
        <w:numPr>
          <w:ilvl w:val="0"/>
          <w:numId w:val="16"/>
        </w:numPr>
        <w:spacing w:line="360" w:lineRule="auto"/>
        <w:jc w:val="both"/>
        <w:textAlignment w:val="baseline"/>
        <w:rPr>
          <w:rFonts w:ascii="Times New Roman" w:eastAsia="Cambria" w:hAnsi="Times New Roman"/>
        </w:rPr>
      </w:pPr>
      <w:r w:rsidRPr="00BB4320">
        <w:rPr>
          <w:rFonts w:ascii="Times New Roman" w:eastAsia="Cambria" w:hAnsi="Times New Roman"/>
          <w:b/>
          <w:bCs/>
        </w:rPr>
        <w:t>La diffamation par voie publicitaire </w:t>
      </w:r>
      <w:r w:rsidRPr="00BB4320">
        <w:rPr>
          <w:rFonts w:ascii="Times New Roman" w:eastAsia="Cambria" w:hAnsi="Times New Roman"/>
        </w:rPr>
        <w:t>est punie conformément au Code Pénal :</w:t>
      </w:r>
    </w:p>
    <w:p w14:paraId="168CAC98" w14:textId="77777777" w:rsidR="006A542D" w:rsidRPr="00BB4320" w:rsidRDefault="006A542D" w:rsidP="00BB4320">
      <w:pPr>
        <w:pStyle w:val="Paragraphedeliste"/>
        <w:numPr>
          <w:ilvl w:val="1"/>
          <w:numId w:val="6"/>
        </w:numPr>
        <w:spacing w:after="160" w:line="360" w:lineRule="auto"/>
        <w:jc w:val="both"/>
        <w:textAlignment w:val="baseline"/>
        <w:rPr>
          <w:rFonts w:ascii="Times New Roman" w:eastAsia="Cambria" w:hAnsi="Times New Roman"/>
        </w:rPr>
      </w:pPr>
      <w:proofErr w:type="gramStart"/>
      <w:r w:rsidRPr="00BB4320">
        <w:rPr>
          <w:rFonts w:ascii="Times New Roman" w:eastAsia="Cambria" w:hAnsi="Times New Roman"/>
        </w:rPr>
        <w:t>d’un</w:t>
      </w:r>
      <w:proofErr w:type="gramEnd"/>
      <w:r w:rsidRPr="00BB4320">
        <w:rPr>
          <w:rFonts w:ascii="Times New Roman" w:eastAsia="Cambria" w:hAnsi="Times New Roman"/>
        </w:rPr>
        <w:t xml:space="preserve"> emprisonnement de 1 mois à 1 an et d’une amende de 500.000 à 1.000.000 de francs guinéens ou de l’une de ces deux peines seulement, lorsqu’elle est commise envers les administrations publiques, les corps constitués, l’armée, les Cours et Tribunaux, les membres de départements ministériels, du Parlement, des fonctionnaires dépositaires ou agents de l’autorité publique, des citoyens chargés d’un service ou mandat public, des jurés ou témoins à raison de leurs dépositions ;</w:t>
      </w:r>
    </w:p>
    <w:p w14:paraId="2DC60023" w14:textId="77777777" w:rsidR="006A542D" w:rsidRPr="00BB4320" w:rsidRDefault="006A542D" w:rsidP="00BB4320">
      <w:pPr>
        <w:pStyle w:val="Paragraphedeliste"/>
        <w:numPr>
          <w:ilvl w:val="1"/>
          <w:numId w:val="6"/>
        </w:numPr>
        <w:spacing w:before="240" w:after="160" w:line="360" w:lineRule="auto"/>
        <w:jc w:val="both"/>
        <w:textAlignment w:val="baseline"/>
        <w:rPr>
          <w:rFonts w:ascii="Times New Roman" w:eastAsia="Cambria" w:hAnsi="Times New Roman"/>
        </w:rPr>
      </w:pPr>
      <w:proofErr w:type="gramStart"/>
      <w:r w:rsidRPr="00BB4320">
        <w:rPr>
          <w:rFonts w:ascii="Times New Roman" w:eastAsia="Cambria" w:hAnsi="Times New Roman"/>
        </w:rPr>
        <w:t>d’un</w:t>
      </w:r>
      <w:proofErr w:type="gramEnd"/>
      <w:r w:rsidRPr="00BB4320">
        <w:rPr>
          <w:rFonts w:ascii="Times New Roman" w:eastAsia="Cambria" w:hAnsi="Times New Roman"/>
        </w:rPr>
        <w:t xml:space="preserve"> emprisonnement de 16 jours à 6 mois et d’une amende de 500.000 à 1.000.000 de francs guinéens ou de l’une de ces deux peines seulement, lorsqu’elle est commise envers une entreprise ou des particuliers.</w:t>
      </w:r>
    </w:p>
    <w:p w14:paraId="20000C0B" w14:textId="77777777" w:rsidR="006A542D" w:rsidRPr="00BB4320" w:rsidRDefault="006A542D" w:rsidP="00BB4320">
      <w:pPr>
        <w:pStyle w:val="Paragraphedeliste"/>
        <w:numPr>
          <w:ilvl w:val="0"/>
          <w:numId w:val="16"/>
        </w:numPr>
        <w:spacing w:line="360" w:lineRule="auto"/>
        <w:jc w:val="both"/>
        <w:textAlignment w:val="baseline"/>
        <w:rPr>
          <w:rFonts w:ascii="Times New Roman" w:eastAsia="Cambria" w:hAnsi="Times New Roman"/>
        </w:rPr>
      </w:pPr>
      <w:r w:rsidRPr="00BB4320">
        <w:rPr>
          <w:rFonts w:ascii="Times New Roman" w:eastAsia="Cambria" w:hAnsi="Times New Roman"/>
          <w:b/>
          <w:bCs/>
        </w:rPr>
        <w:t>La publicité ayant pour support des billets de banque e</w:t>
      </w:r>
      <w:r w:rsidRPr="00BB4320">
        <w:rPr>
          <w:rFonts w:ascii="Times New Roman" w:eastAsia="Cambria" w:hAnsi="Times New Roman"/>
        </w:rPr>
        <w:t>st punie d’amende prévue pour les contraventions de la 2ème classe, toute publicité ayant pour support quelconque des pièces de monnaie ou des billets de banque ayant cours légal en République de Guinée ou émis par les institutions étrangères ou internationales habilitées à cette fin.</w:t>
      </w:r>
    </w:p>
    <w:p w14:paraId="3CDAC6DB" w14:textId="77777777" w:rsidR="006A542D" w:rsidRPr="00BB4320" w:rsidRDefault="006A542D" w:rsidP="00BB4320">
      <w:pPr>
        <w:pStyle w:val="Paragraphedeliste"/>
        <w:numPr>
          <w:ilvl w:val="0"/>
          <w:numId w:val="16"/>
        </w:numPr>
        <w:spacing w:line="360" w:lineRule="auto"/>
        <w:jc w:val="both"/>
        <w:textAlignment w:val="baseline"/>
        <w:rPr>
          <w:rFonts w:ascii="Times New Roman" w:eastAsia="Cambria" w:hAnsi="Times New Roman"/>
        </w:rPr>
      </w:pPr>
      <w:r w:rsidRPr="00BB4320">
        <w:rPr>
          <w:rFonts w:ascii="Times New Roman" w:eastAsia="Cambria" w:hAnsi="Times New Roman"/>
          <w:b/>
          <w:bCs/>
        </w:rPr>
        <w:t xml:space="preserve">L’utilisation de l’image et de la voie des employés de médias dans la publicité </w:t>
      </w:r>
      <w:r w:rsidRPr="00BB4320">
        <w:rPr>
          <w:rFonts w:ascii="Times New Roman" w:eastAsia="Cambria" w:hAnsi="Times New Roman"/>
        </w:rPr>
        <w:t>est punie de sanctions disciplinaires, conformément aux lois et règlements fixant le statut du corps auquel appartient l’employé.</w:t>
      </w:r>
    </w:p>
    <w:p w14:paraId="3A5A7E38" w14:textId="2C4E0F31" w:rsidR="00596628" w:rsidRPr="00BB4320" w:rsidRDefault="006A542D" w:rsidP="00BB4320">
      <w:pPr>
        <w:pStyle w:val="Paragraphedeliste"/>
        <w:numPr>
          <w:ilvl w:val="0"/>
          <w:numId w:val="16"/>
        </w:numPr>
        <w:spacing w:line="360" w:lineRule="auto"/>
        <w:jc w:val="both"/>
        <w:textAlignment w:val="baseline"/>
        <w:rPr>
          <w:rFonts w:ascii="Times New Roman" w:eastAsia="Cambria" w:hAnsi="Times New Roman"/>
        </w:rPr>
      </w:pPr>
      <w:r w:rsidRPr="00BB4320">
        <w:rPr>
          <w:rFonts w:ascii="Times New Roman" w:eastAsia="Cambria" w:hAnsi="Times New Roman"/>
          <w:b/>
          <w:bCs/>
        </w:rPr>
        <w:t xml:space="preserve">Des sanctions disciplinaires applicables à certains actes publicitaires : </w:t>
      </w:r>
      <w:r w:rsidRPr="00BB4320">
        <w:rPr>
          <w:rFonts w:ascii="Times New Roman" w:eastAsia="Cambria" w:hAnsi="Times New Roman"/>
        </w:rPr>
        <w:t xml:space="preserve">Sans préjudice des sanctions pénales prévues dans la présente Loi, l’organisme habilité peut appliquer les sanctions disciplinaires suivantes :  l’avertissement ; le </w:t>
      </w:r>
      <w:r w:rsidR="00682572" w:rsidRPr="00BB4320">
        <w:rPr>
          <w:rFonts w:ascii="Times New Roman" w:eastAsia="Cambria" w:hAnsi="Times New Roman"/>
        </w:rPr>
        <w:t>blâme et</w:t>
      </w:r>
      <w:r w:rsidRPr="00BB4320">
        <w:rPr>
          <w:rFonts w:ascii="Times New Roman" w:eastAsia="Cambria" w:hAnsi="Times New Roman"/>
        </w:rPr>
        <w:t xml:space="preserve"> la mise en demeure de retirer dans un délai de 24 heure.</w:t>
      </w:r>
      <w:bookmarkEnd w:id="2"/>
    </w:p>
    <w:p w14:paraId="60039F18" w14:textId="1464A5F1" w:rsidR="00AD05B0" w:rsidRPr="00BB4320" w:rsidRDefault="00AD05B0" w:rsidP="00BB4320">
      <w:pPr>
        <w:shd w:val="clear" w:color="auto" w:fill="D9E2F3" w:themeFill="accent1" w:themeFillTint="33"/>
        <w:spacing w:before="240" w:after="240" w:line="360" w:lineRule="auto"/>
        <w:jc w:val="both"/>
        <w:rPr>
          <w:rFonts w:ascii="Times New Roman" w:eastAsia="Cambria" w:hAnsi="Times New Roman"/>
          <w:b/>
          <w:bCs/>
          <w:i/>
          <w:iCs/>
        </w:rPr>
      </w:pPr>
      <w:r w:rsidRPr="00BB4320">
        <w:rPr>
          <w:rFonts w:ascii="Times New Roman" w:eastAsia="Cambria" w:hAnsi="Times New Roman"/>
          <w:b/>
          <w:bCs/>
          <w:i/>
          <w:iCs/>
        </w:rPr>
        <w:t>Interrogations et observations sur le projet de loi</w:t>
      </w:r>
    </w:p>
    <w:p w14:paraId="392C640E" w14:textId="77777777" w:rsidR="00BB4320" w:rsidRPr="00BB4320" w:rsidRDefault="00BB4320" w:rsidP="00BB4320">
      <w:pPr>
        <w:shd w:val="clear" w:color="auto" w:fill="FFFFFF"/>
        <w:spacing w:line="360" w:lineRule="auto"/>
        <w:jc w:val="both"/>
        <w:rPr>
          <w:rFonts w:ascii="Times New Roman" w:eastAsia="Times New Roman" w:hAnsi="Times New Roman"/>
          <w:color w:val="222222"/>
        </w:rPr>
      </w:pPr>
      <w:r w:rsidRPr="00BB4320">
        <w:rPr>
          <w:rFonts w:ascii="Times New Roman" w:eastAsia="Times New Roman" w:hAnsi="Times New Roman"/>
          <w:color w:val="222222"/>
        </w:rPr>
        <w:t>Lors des travaux en commission et en inter-commission, les débats ont été axés sur :</w:t>
      </w:r>
    </w:p>
    <w:p w14:paraId="77073C35" w14:textId="71E247B5" w:rsidR="00BB4320" w:rsidRPr="00BB4320" w:rsidRDefault="00BB4320" w:rsidP="00BB4320">
      <w:pPr>
        <w:pStyle w:val="Paragraphedeliste"/>
        <w:numPr>
          <w:ilvl w:val="0"/>
          <w:numId w:val="22"/>
        </w:numPr>
        <w:shd w:val="clear" w:color="auto" w:fill="FFFFFF"/>
        <w:spacing w:line="360" w:lineRule="auto"/>
        <w:jc w:val="both"/>
        <w:rPr>
          <w:rFonts w:ascii="Times New Roman" w:eastAsia="Times New Roman" w:hAnsi="Times New Roman"/>
          <w:color w:val="222222"/>
        </w:rPr>
      </w:pPr>
      <w:proofErr w:type="gramStart"/>
      <w:r w:rsidRPr="00BB4320">
        <w:rPr>
          <w:rFonts w:ascii="Times New Roman" w:eastAsia="Times New Roman" w:hAnsi="Times New Roman"/>
          <w:color w:val="222222"/>
        </w:rPr>
        <w:t>les</w:t>
      </w:r>
      <w:proofErr w:type="gramEnd"/>
      <w:r w:rsidRPr="00BB4320">
        <w:rPr>
          <w:rFonts w:ascii="Times New Roman" w:eastAsia="Times New Roman" w:hAnsi="Times New Roman"/>
          <w:color w:val="222222"/>
        </w:rPr>
        <w:t xml:space="preserve"> conditions d’exercices des professions publicitaires ;</w:t>
      </w:r>
    </w:p>
    <w:p w14:paraId="6B9DB643" w14:textId="5C79CD18" w:rsidR="00BB4320" w:rsidRPr="00BB4320" w:rsidRDefault="00BB4320" w:rsidP="00BB4320">
      <w:pPr>
        <w:pStyle w:val="Paragraphedeliste"/>
        <w:numPr>
          <w:ilvl w:val="0"/>
          <w:numId w:val="22"/>
        </w:numPr>
        <w:shd w:val="clear" w:color="auto" w:fill="FFFFFF"/>
        <w:spacing w:line="360" w:lineRule="auto"/>
        <w:jc w:val="both"/>
        <w:rPr>
          <w:rFonts w:ascii="Times New Roman" w:eastAsia="Times New Roman" w:hAnsi="Times New Roman"/>
          <w:color w:val="222222"/>
        </w:rPr>
      </w:pPr>
      <w:proofErr w:type="gramStart"/>
      <w:r w:rsidRPr="00BB4320">
        <w:rPr>
          <w:rFonts w:ascii="Times New Roman" w:eastAsia="Times New Roman" w:hAnsi="Times New Roman"/>
          <w:color w:val="222222"/>
        </w:rPr>
        <w:t>l’attribution</w:t>
      </w:r>
      <w:proofErr w:type="gramEnd"/>
      <w:r w:rsidRPr="00BB4320">
        <w:rPr>
          <w:rFonts w:ascii="Times New Roman" w:eastAsia="Times New Roman" w:hAnsi="Times New Roman"/>
          <w:color w:val="222222"/>
        </w:rPr>
        <w:t xml:space="preserve"> des licences d’exploitation aux régies publicitaires ;</w:t>
      </w:r>
    </w:p>
    <w:p w14:paraId="1C660FAB" w14:textId="35EFE335" w:rsidR="00BB4320" w:rsidRPr="00BB4320" w:rsidRDefault="00BB4320" w:rsidP="00BB4320">
      <w:pPr>
        <w:pStyle w:val="Paragraphedeliste"/>
        <w:numPr>
          <w:ilvl w:val="0"/>
          <w:numId w:val="22"/>
        </w:numPr>
        <w:shd w:val="clear" w:color="auto" w:fill="FFFFFF"/>
        <w:spacing w:line="360" w:lineRule="auto"/>
        <w:jc w:val="both"/>
        <w:rPr>
          <w:rFonts w:ascii="Times New Roman" w:eastAsia="Times New Roman" w:hAnsi="Times New Roman"/>
          <w:color w:val="222222"/>
        </w:rPr>
      </w:pPr>
      <w:proofErr w:type="gramStart"/>
      <w:r w:rsidRPr="00BB4320">
        <w:rPr>
          <w:rFonts w:ascii="Times New Roman" w:eastAsia="Times New Roman" w:hAnsi="Times New Roman"/>
          <w:color w:val="222222"/>
        </w:rPr>
        <w:t>la</w:t>
      </w:r>
      <w:proofErr w:type="gramEnd"/>
      <w:r w:rsidRPr="00BB4320">
        <w:rPr>
          <w:rFonts w:ascii="Times New Roman" w:eastAsia="Times New Roman" w:hAnsi="Times New Roman"/>
          <w:color w:val="222222"/>
        </w:rPr>
        <w:t xml:space="preserve"> validation à priori vs le contrôle à post</w:t>
      </w:r>
      <w:r w:rsidR="00524707">
        <w:rPr>
          <w:rFonts w:ascii="Times New Roman" w:eastAsia="Times New Roman" w:hAnsi="Times New Roman"/>
          <w:color w:val="222222"/>
        </w:rPr>
        <w:t>e</w:t>
      </w:r>
      <w:r w:rsidRPr="00BB4320">
        <w:rPr>
          <w:rFonts w:ascii="Times New Roman" w:eastAsia="Times New Roman" w:hAnsi="Times New Roman"/>
          <w:color w:val="222222"/>
        </w:rPr>
        <w:t>riori des contenus publicitaires ;</w:t>
      </w:r>
    </w:p>
    <w:p w14:paraId="1273D92F" w14:textId="5DAED25A" w:rsidR="00BB4320" w:rsidRPr="00BB4320" w:rsidRDefault="00BB4320" w:rsidP="00BB4320">
      <w:pPr>
        <w:pStyle w:val="Paragraphedeliste"/>
        <w:numPr>
          <w:ilvl w:val="0"/>
          <w:numId w:val="22"/>
        </w:numPr>
        <w:shd w:val="clear" w:color="auto" w:fill="FFFFFF"/>
        <w:spacing w:line="360" w:lineRule="auto"/>
        <w:jc w:val="both"/>
        <w:rPr>
          <w:rFonts w:ascii="Times New Roman" w:eastAsia="Times New Roman" w:hAnsi="Times New Roman"/>
          <w:color w:val="222222"/>
        </w:rPr>
      </w:pPr>
      <w:proofErr w:type="gramStart"/>
      <w:r w:rsidRPr="00BB4320">
        <w:rPr>
          <w:rFonts w:ascii="Times New Roman" w:eastAsia="Times New Roman" w:hAnsi="Times New Roman"/>
          <w:color w:val="222222"/>
        </w:rPr>
        <w:t>la</w:t>
      </w:r>
      <w:proofErr w:type="gramEnd"/>
      <w:r w:rsidRPr="00BB4320">
        <w:rPr>
          <w:rFonts w:ascii="Times New Roman" w:eastAsia="Times New Roman" w:hAnsi="Times New Roman"/>
          <w:color w:val="222222"/>
        </w:rPr>
        <w:t xml:space="preserve"> pertinence d’inclure des sanctions d’ordre pénal, civil et disciplinaire dans la loi ;</w:t>
      </w:r>
    </w:p>
    <w:p w14:paraId="015F8D2F" w14:textId="2ABD8E31" w:rsidR="00BB4320" w:rsidRPr="00BB4320" w:rsidRDefault="00BB4320" w:rsidP="00BB4320">
      <w:pPr>
        <w:pStyle w:val="Paragraphedeliste"/>
        <w:numPr>
          <w:ilvl w:val="0"/>
          <w:numId w:val="22"/>
        </w:numPr>
        <w:shd w:val="clear" w:color="auto" w:fill="FFFFFF"/>
        <w:spacing w:line="360" w:lineRule="auto"/>
        <w:jc w:val="both"/>
        <w:rPr>
          <w:rFonts w:ascii="Times New Roman" w:eastAsia="Times New Roman" w:hAnsi="Times New Roman"/>
          <w:color w:val="222222"/>
        </w:rPr>
      </w:pPr>
      <w:proofErr w:type="gramStart"/>
      <w:r w:rsidRPr="00BB4320">
        <w:rPr>
          <w:rFonts w:ascii="Times New Roman" w:eastAsia="Times New Roman" w:hAnsi="Times New Roman"/>
          <w:color w:val="222222"/>
        </w:rPr>
        <w:t>le</w:t>
      </w:r>
      <w:proofErr w:type="gramEnd"/>
      <w:r w:rsidRPr="00BB4320">
        <w:rPr>
          <w:rFonts w:ascii="Times New Roman" w:eastAsia="Times New Roman" w:hAnsi="Times New Roman"/>
          <w:color w:val="222222"/>
        </w:rPr>
        <w:t xml:space="preserve"> statut actuel de l’Office guinéen de la publicité qui est à la fois une société publique et organe de régulation ;</w:t>
      </w:r>
    </w:p>
    <w:p w14:paraId="49B804E3" w14:textId="56745E20" w:rsidR="00BB4320" w:rsidRPr="00BB4320" w:rsidRDefault="00BB4320" w:rsidP="00BB4320">
      <w:pPr>
        <w:pStyle w:val="Paragraphedeliste"/>
        <w:numPr>
          <w:ilvl w:val="0"/>
          <w:numId w:val="22"/>
        </w:numPr>
        <w:shd w:val="clear" w:color="auto" w:fill="FFFFFF"/>
        <w:spacing w:line="360" w:lineRule="auto"/>
        <w:jc w:val="both"/>
        <w:rPr>
          <w:rFonts w:ascii="Times New Roman" w:eastAsia="Times New Roman" w:hAnsi="Times New Roman"/>
          <w:color w:val="222222"/>
        </w:rPr>
      </w:pPr>
      <w:proofErr w:type="gramStart"/>
      <w:r w:rsidRPr="00BB4320">
        <w:rPr>
          <w:rFonts w:ascii="Times New Roman" w:eastAsia="Times New Roman" w:hAnsi="Times New Roman"/>
          <w:color w:val="222222"/>
        </w:rPr>
        <w:t>l’implication</w:t>
      </w:r>
      <w:proofErr w:type="gramEnd"/>
      <w:r w:rsidRPr="00BB4320">
        <w:rPr>
          <w:rFonts w:ascii="Times New Roman" w:eastAsia="Times New Roman" w:hAnsi="Times New Roman"/>
          <w:color w:val="222222"/>
        </w:rPr>
        <w:t xml:space="preserve"> des Mairies dans la gouvernance du secteur de la publicité notamment l’attribution des sites et les revenus engendrés ;</w:t>
      </w:r>
    </w:p>
    <w:p w14:paraId="33A056E0" w14:textId="5D3BD087" w:rsidR="00BB4320" w:rsidRPr="00BB4320" w:rsidRDefault="00BB4320" w:rsidP="00BB4320">
      <w:pPr>
        <w:pStyle w:val="Paragraphedeliste"/>
        <w:numPr>
          <w:ilvl w:val="0"/>
          <w:numId w:val="22"/>
        </w:numPr>
        <w:shd w:val="clear" w:color="auto" w:fill="FFFFFF"/>
        <w:spacing w:after="240" w:line="360" w:lineRule="auto"/>
        <w:jc w:val="both"/>
        <w:rPr>
          <w:rFonts w:ascii="Times New Roman" w:eastAsia="Times New Roman" w:hAnsi="Times New Roman"/>
          <w:color w:val="222222"/>
        </w:rPr>
      </w:pPr>
      <w:proofErr w:type="gramStart"/>
      <w:r w:rsidRPr="00BB4320">
        <w:rPr>
          <w:rFonts w:ascii="Times New Roman" w:eastAsia="Times New Roman" w:hAnsi="Times New Roman"/>
          <w:color w:val="222222"/>
        </w:rPr>
        <w:t>l’harmonisation</w:t>
      </w:r>
      <w:proofErr w:type="gramEnd"/>
      <w:r w:rsidRPr="00BB4320">
        <w:rPr>
          <w:rFonts w:ascii="Times New Roman" w:eastAsia="Times New Roman" w:hAnsi="Times New Roman"/>
          <w:color w:val="222222"/>
        </w:rPr>
        <w:t xml:space="preserve"> de l’interdiction totale de l’utilisation de la voix de tous les journalistes (media public et media privé) en matière de publicité ;</w:t>
      </w:r>
    </w:p>
    <w:p w14:paraId="287AE323" w14:textId="4C2F143B" w:rsidR="00AD05B0" w:rsidRPr="00BB4320" w:rsidRDefault="00AD05B0" w:rsidP="00BB4320">
      <w:pPr>
        <w:shd w:val="clear" w:color="auto" w:fill="D9E2F3" w:themeFill="accent1" w:themeFillTint="33"/>
        <w:spacing w:after="240" w:line="360" w:lineRule="auto"/>
        <w:jc w:val="both"/>
        <w:rPr>
          <w:rFonts w:ascii="Times New Roman" w:eastAsia="Cambria" w:hAnsi="Times New Roman"/>
          <w:b/>
          <w:bCs/>
          <w:i/>
          <w:iCs/>
        </w:rPr>
      </w:pPr>
      <w:r w:rsidRPr="00BB4320">
        <w:rPr>
          <w:rFonts w:ascii="Times New Roman" w:eastAsia="Cambria" w:hAnsi="Times New Roman"/>
          <w:b/>
          <w:bCs/>
          <w:i/>
          <w:iCs/>
        </w:rPr>
        <w:t>Recommandations</w:t>
      </w:r>
    </w:p>
    <w:p w14:paraId="6ACF275E" w14:textId="155B94A3" w:rsidR="00AD05B0" w:rsidRPr="00BB4320" w:rsidRDefault="00560BD2" w:rsidP="00BB4320">
      <w:pPr>
        <w:spacing w:after="240" w:line="360" w:lineRule="auto"/>
        <w:jc w:val="both"/>
        <w:rPr>
          <w:rFonts w:ascii="Times New Roman" w:eastAsia="Cambria" w:hAnsi="Times New Roman"/>
        </w:rPr>
      </w:pPr>
      <w:r w:rsidRPr="00BB4320">
        <w:rPr>
          <w:rFonts w:ascii="Times New Roman" w:eastAsia="Cambria" w:hAnsi="Times New Roman"/>
        </w:rPr>
        <w:t>S</w:t>
      </w:r>
      <w:r w:rsidR="00F2315C" w:rsidRPr="00BB4320">
        <w:rPr>
          <w:rFonts w:ascii="Times New Roman" w:eastAsia="Cambria" w:hAnsi="Times New Roman"/>
        </w:rPr>
        <w:t>uite aux</w:t>
      </w:r>
      <w:r w:rsidR="00026E81" w:rsidRPr="00BB4320">
        <w:rPr>
          <w:rFonts w:ascii="Times New Roman" w:eastAsia="Cambria" w:hAnsi="Times New Roman"/>
        </w:rPr>
        <w:t xml:space="preserve"> débats en Commission et inter-commission</w:t>
      </w:r>
      <w:r w:rsidR="00290755" w:rsidRPr="00BB4320">
        <w:rPr>
          <w:rFonts w:ascii="Times New Roman" w:eastAsia="Cambria" w:hAnsi="Times New Roman"/>
        </w:rPr>
        <w:t>s respectivement le 7 et le 15 Décembre 2023</w:t>
      </w:r>
      <w:r w:rsidR="00026E81" w:rsidRPr="00BB4320">
        <w:rPr>
          <w:rFonts w:ascii="Times New Roman" w:eastAsia="Cambria" w:hAnsi="Times New Roman"/>
        </w:rPr>
        <w:t xml:space="preserve">, </w:t>
      </w:r>
      <w:r w:rsidRPr="00BB4320">
        <w:rPr>
          <w:rFonts w:ascii="Times New Roman" w:eastAsia="Cambria" w:hAnsi="Times New Roman"/>
        </w:rPr>
        <w:t xml:space="preserve">Le CNT </w:t>
      </w:r>
      <w:r w:rsidR="00026E81" w:rsidRPr="00BB4320">
        <w:rPr>
          <w:rFonts w:ascii="Times New Roman" w:eastAsia="Cambria" w:hAnsi="Times New Roman"/>
        </w:rPr>
        <w:t>recommand</w:t>
      </w:r>
      <w:r w:rsidRPr="00BB4320">
        <w:rPr>
          <w:rFonts w:ascii="Times New Roman" w:eastAsia="Cambria" w:hAnsi="Times New Roman"/>
        </w:rPr>
        <w:t>e</w:t>
      </w:r>
      <w:r w:rsidR="000015ED" w:rsidRPr="00BB4320">
        <w:rPr>
          <w:rFonts w:ascii="Times New Roman" w:eastAsia="Cambria" w:hAnsi="Times New Roman"/>
        </w:rPr>
        <w:t> </w:t>
      </w:r>
      <w:r w:rsidR="00737D33">
        <w:rPr>
          <w:rFonts w:ascii="Times New Roman" w:eastAsia="Cambria" w:hAnsi="Times New Roman"/>
        </w:rPr>
        <w:t>de </w:t>
      </w:r>
      <w:r w:rsidR="00026E81" w:rsidRPr="00BB4320">
        <w:rPr>
          <w:rFonts w:ascii="Times New Roman" w:eastAsia="Cambria" w:hAnsi="Times New Roman"/>
        </w:rPr>
        <w:t>:</w:t>
      </w:r>
    </w:p>
    <w:p w14:paraId="6988CB89" w14:textId="633EDA93" w:rsidR="00195380" w:rsidRPr="00195380" w:rsidRDefault="008D1A11" w:rsidP="00195380">
      <w:pPr>
        <w:pStyle w:val="Paragraphedeliste"/>
        <w:numPr>
          <w:ilvl w:val="0"/>
          <w:numId w:val="5"/>
        </w:numPr>
        <w:spacing w:line="360" w:lineRule="auto"/>
        <w:jc w:val="both"/>
        <w:rPr>
          <w:rFonts w:ascii="Times New Roman" w:eastAsia="Cambria" w:hAnsi="Times New Roman"/>
        </w:rPr>
      </w:pPr>
      <w:r w:rsidRPr="00BB4320">
        <w:rPr>
          <w:rFonts w:ascii="Times New Roman" w:eastAsia="Cambria" w:hAnsi="Times New Roman"/>
        </w:rPr>
        <w:t>Diligenter la mise</w:t>
      </w:r>
      <w:r w:rsidR="000A0DDF" w:rsidRPr="00BB4320">
        <w:rPr>
          <w:rFonts w:ascii="Times New Roman" w:eastAsia="Cambria" w:hAnsi="Times New Roman"/>
        </w:rPr>
        <w:t xml:space="preserve"> en place </w:t>
      </w:r>
      <w:r w:rsidRPr="00BB4320">
        <w:rPr>
          <w:rFonts w:ascii="Times New Roman" w:eastAsia="Cambria" w:hAnsi="Times New Roman"/>
        </w:rPr>
        <w:t xml:space="preserve">de </w:t>
      </w:r>
      <w:r w:rsidR="000A0DDF" w:rsidRPr="00BB4320">
        <w:rPr>
          <w:rFonts w:ascii="Times New Roman" w:eastAsia="Cambria" w:hAnsi="Times New Roman"/>
        </w:rPr>
        <w:t>l’organisme de régulation conformément à la loi sur les A</w:t>
      </w:r>
      <w:r w:rsidR="00F2315C" w:rsidRPr="00BB4320">
        <w:rPr>
          <w:rFonts w:ascii="Times New Roman" w:eastAsia="Cambria" w:hAnsi="Times New Roman"/>
        </w:rPr>
        <w:t xml:space="preserve">utorités </w:t>
      </w:r>
      <w:r w:rsidR="000A0DDF" w:rsidRPr="00BB4320">
        <w:rPr>
          <w:rFonts w:ascii="Times New Roman" w:eastAsia="Cambria" w:hAnsi="Times New Roman"/>
        </w:rPr>
        <w:t>A</w:t>
      </w:r>
      <w:r w:rsidR="00F2315C" w:rsidRPr="00BB4320">
        <w:rPr>
          <w:rFonts w:ascii="Times New Roman" w:eastAsia="Cambria" w:hAnsi="Times New Roman"/>
        </w:rPr>
        <w:t xml:space="preserve">dministratives </w:t>
      </w:r>
      <w:r w:rsidR="000A0DDF" w:rsidRPr="00BB4320">
        <w:rPr>
          <w:rFonts w:ascii="Times New Roman" w:eastAsia="Cambria" w:hAnsi="Times New Roman"/>
        </w:rPr>
        <w:t>I</w:t>
      </w:r>
      <w:r w:rsidR="00F2315C" w:rsidRPr="00BB4320">
        <w:rPr>
          <w:rFonts w:ascii="Times New Roman" w:eastAsia="Cambria" w:hAnsi="Times New Roman"/>
        </w:rPr>
        <w:t>ndépendante (AAI)</w:t>
      </w:r>
      <w:r w:rsidR="00524707">
        <w:rPr>
          <w:rFonts w:ascii="Times New Roman" w:eastAsia="Cambria" w:hAnsi="Times New Roman"/>
        </w:rPr>
        <w:t>, d’autant plus dans les dispositions transitoires de la loi, c’est un délai de six mois qui est accordé aux acteurs du secteur pour se conformer ;</w:t>
      </w:r>
    </w:p>
    <w:p w14:paraId="2B1D4106" w14:textId="64081F1D" w:rsidR="00C32C64" w:rsidRPr="00BB4320" w:rsidRDefault="000A0DDF" w:rsidP="00BB4320">
      <w:pPr>
        <w:pStyle w:val="Paragraphedeliste"/>
        <w:numPr>
          <w:ilvl w:val="0"/>
          <w:numId w:val="5"/>
        </w:numPr>
        <w:spacing w:line="360" w:lineRule="auto"/>
        <w:jc w:val="both"/>
        <w:rPr>
          <w:rFonts w:ascii="Times New Roman" w:eastAsia="Cambria" w:hAnsi="Times New Roman"/>
        </w:rPr>
      </w:pPr>
      <w:r w:rsidRPr="00BB4320">
        <w:rPr>
          <w:rFonts w:ascii="Times New Roman" w:eastAsia="Cambria" w:hAnsi="Times New Roman"/>
        </w:rPr>
        <w:t>Informer suffisamment les professionnels de la publicité sur le contenu de cette loi en phase d’être adoptée</w:t>
      </w:r>
      <w:r w:rsidR="00C32C64" w:rsidRPr="00BB4320">
        <w:rPr>
          <w:rFonts w:ascii="Times New Roman" w:eastAsia="Cambria" w:hAnsi="Times New Roman"/>
        </w:rPr>
        <w:t> </w:t>
      </w:r>
      <w:r w:rsidR="008D1A11" w:rsidRPr="00BB4320">
        <w:rPr>
          <w:rFonts w:ascii="Times New Roman" w:eastAsia="Cambria" w:hAnsi="Times New Roman"/>
        </w:rPr>
        <w:t xml:space="preserve">à travers des séances de vulgarisation </w:t>
      </w:r>
      <w:r w:rsidR="00C32C64" w:rsidRPr="00BB4320">
        <w:rPr>
          <w:rFonts w:ascii="Times New Roman" w:eastAsia="Cambria" w:hAnsi="Times New Roman"/>
        </w:rPr>
        <w:t>;</w:t>
      </w:r>
    </w:p>
    <w:p w14:paraId="55E7939E" w14:textId="50E64F56" w:rsidR="008D1A11" w:rsidRPr="00BB4320" w:rsidRDefault="008D1A11" w:rsidP="00BB4320">
      <w:pPr>
        <w:pStyle w:val="Paragraphedeliste"/>
        <w:numPr>
          <w:ilvl w:val="0"/>
          <w:numId w:val="5"/>
        </w:numPr>
        <w:spacing w:line="360" w:lineRule="auto"/>
        <w:jc w:val="both"/>
        <w:rPr>
          <w:rFonts w:ascii="Times New Roman" w:eastAsia="Cambria" w:hAnsi="Times New Roman"/>
        </w:rPr>
      </w:pPr>
      <w:r w:rsidRPr="00BB4320">
        <w:rPr>
          <w:rFonts w:ascii="Times New Roman" w:eastAsia="Cambria" w:hAnsi="Times New Roman"/>
        </w:rPr>
        <w:t xml:space="preserve">Veiller </w:t>
      </w:r>
      <w:r w:rsidR="00560BD2" w:rsidRPr="00BB4320">
        <w:rPr>
          <w:rFonts w:ascii="Times New Roman" w:eastAsia="Cambria" w:hAnsi="Times New Roman"/>
        </w:rPr>
        <w:t>au</w:t>
      </w:r>
      <w:r w:rsidRPr="00BB4320">
        <w:rPr>
          <w:rFonts w:ascii="Times New Roman" w:eastAsia="Cambria" w:hAnsi="Times New Roman"/>
        </w:rPr>
        <w:t xml:space="preserve"> respect des 49% de participation </w:t>
      </w:r>
      <w:r w:rsidR="00560BD2" w:rsidRPr="00BB4320">
        <w:rPr>
          <w:rFonts w:ascii="Times New Roman" w:eastAsia="Cambria" w:hAnsi="Times New Roman"/>
        </w:rPr>
        <w:t xml:space="preserve">des étrangers aux entreprises de publicité, </w:t>
      </w:r>
      <w:r w:rsidRPr="00BB4320">
        <w:rPr>
          <w:rFonts w:ascii="Times New Roman" w:eastAsia="Cambria" w:hAnsi="Times New Roman"/>
        </w:rPr>
        <w:t xml:space="preserve">tel que prévue par la loi sur le contenu local ; </w:t>
      </w:r>
    </w:p>
    <w:p w14:paraId="41B634D4" w14:textId="1A925925" w:rsidR="00B653D1" w:rsidRPr="00BB4320" w:rsidRDefault="00B653D1" w:rsidP="00BB4320">
      <w:pPr>
        <w:pStyle w:val="Paragraphedeliste"/>
        <w:numPr>
          <w:ilvl w:val="0"/>
          <w:numId w:val="5"/>
        </w:numPr>
        <w:spacing w:line="360" w:lineRule="auto"/>
        <w:jc w:val="both"/>
        <w:rPr>
          <w:rFonts w:ascii="Times New Roman" w:eastAsia="Cambria" w:hAnsi="Times New Roman"/>
        </w:rPr>
      </w:pPr>
      <w:r w:rsidRPr="00BB4320">
        <w:rPr>
          <w:rFonts w:ascii="Times New Roman" w:eastAsia="Cambria" w:hAnsi="Times New Roman"/>
        </w:rPr>
        <w:t xml:space="preserve">Fixer par voie règlementaire des modalités de paiement de </w:t>
      </w:r>
      <w:r w:rsidR="005C5431" w:rsidRPr="00BB4320">
        <w:rPr>
          <w:rFonts w:ascii="Times New Roman" w:eastAsia="Cambria" w:hAnsi="Times New Roman"/>
        </w:rPr>
        <w:t>taxes par les GAFA</w:t>
      </w:r>
      <w:r w:rsidR="00524707">
        <w:rPr>
          <w:rFonts w:ascii="Times New Roman" w:eastAsia="Cambria" w:hAnsi="Times New Roman"/>
        </w:rPr>
        <w:t xml:space="preserve"> Google, Apple, Facebook, et Amazone)</w:t>
      </w:r>
      <w:r w:rsidR="005C5431" w:rsidRPr="00BB4320">
        <w:rPr>
          <w:rFonts w:ascii="Times New Roman" w:eastAsia="Cambria" w:hAnsi="Times New Roman"/>
        </w:rPr>
        <w:t xml:space="preserve">, pour la publicité </w:t>
      </w:r>
      <w:r w:rsidRPr="00BB4320">
        <w:rPr>
          <w:rFonts w:ascii="Times New Roman" w:eastAsia="Cambria" w:hAnsi="Times New Roman"/>
        </w:rPr>
        <w:t>sur internet</w:t>
      </w:r>
      <w:r w:rsidR="005C5431" w:rsidRPr="00BB4320">
        <w:rPr>
          <w:rFonts w:ascii="Times New Roman" w:eastAsia="Cambria" w:hAnsi="Times New Roman"/>
        </w:rPr>
        <w:t>, notamment sur Facebook, YouTube,</w:t>
      </w:r>
      <w:r w:rsidR="00524707">
        <w:rPr>
          <w:rFonts w:ascii="Times New Roman" w:eastAsia="Cambria" w:hAnsi="Times New Roman"/>
        </w:rPr>
        <w:t> </w:t>
      </w:r>
      <w:r w:rsidR="005C5431" w:rsidRPr="00BB4320">
        <w:rPr>
          <w:rFonts w:ascii="Times New Roman" w:eastAsia="Cambria" w:hAnsi="Times New Roman"/>
        </w:rPr>
        <w:t>…</w:t>
      </w:r>
    </w:p>
    <w:p w14:paraId="6D7F1C56" w14:textId="6179F6CF" w:rsidR="00C32C64" w:rsidRPr="00BB4320" w:rsidRDefault="00560BD2" w:rsidP="00BB4320">
      <w:pPr>
        <w:pStyle w:val="Paragraphedeliste"/>
        <w:numPr>
          <w:ilvl w:val="0"/>
          <w:numId w:val="5"/>
        </w:numPr>
        <w:spacing w:after="240" w:line="360" w:lineRule="auto"/>
        <w:jc w:val="both"/>
        <w:rPr>
          <w:rFonts w:ascii="Times New Roman" w:eastAsia="Cambria" w:hAnsi="Times New Roman"/>
        </w:rPr>
      </w:pPr>
      <w:r w:rsidRPr="00BB4320">
        <w:rPr>
          <w:rFonts w:ascii="Times New Roman" w:eastAsia="Cambria" w:hAnsi="Times New Roman"/>
        </w:rPr>
        <w:t>Adopter les textes d’application dans de meilleur délai pour favoriser la mise en œuvre de la loi ;</w:t>
      </w:r>
    </w:p>
    <w:p w14:paraId="04BBC7CB" w14:textId="79266055" w:rsidR="00C32C64" w:rsidRPr="00BB4320" w:rsidRDefault="00C32C64" w:rsidP="00BB4320">
      <w:pPr>
        <w:spacing w:line="360" w:lineRule="auto"/>
        <w:jc w:val="both"/>
        <w:rPr>
          <w:rFonts w:ascii="Times New Roman" w:eastAsia="Cambria" w:hAnsi="Times New Roman"/>
        </w:rPr>
      </w:pPr>
      <w:r w:rsidRPr="00BB4320">
        <w:rPr>
          <w:rFonts w:ascii="Times New Roman" w:eastAsia="Cambria" w:hAnsi="Times New Roman"/>
          <w:b/>
          <w:bCs/>
        </w:rPr>
        <w:t xml:space="preserve">Honorables Conseillers nationaux, </w:t>
      </w:r>
    </w:p>
    <w:p w14:paraId="247B6F6F" w14:textId="64DE56B5" w:rsidR="00A135D5" w:rsidRPr="00BB4320" w:rsidRDefault="00BB4320" w:rsidP="00BB4320">
      <w:pPr>
        <w:spacing w:line="360" w:lineRule="auto"/>
        <w:jc w:val="both"/>
        <w:rPr>
          <w:rFonts w:ascii="Times New Roman" w:eastAsia="Cambria" w:hAnsi="Times New Roman"/>
        </w:rPr>
      </w:pPr>
      <w:r w:rsidRPr="00BB4320">
        <w:rPr>
          <w:rFonts w:ascii="Times New Roman" w:eastAsia="Cambria" w:hAnsi="Times New Roman"/>
        </w:rPr>
        <w:t xml:space="preserve">En raison de </w:t>
      </w:r>
      <w:r w:rsidR="00D109C3" w:rsidRPr="00BB4320">
        <w:rPr>
          <w:rFonts w:ascii="Times New Roman" w:eastAsia="Cambria" w:hAnsi="Times New Roman"/>
        </w:rPr>
        <w:t>la nécessité de légiférer en matière de publicité, a</w:t>
      </w:r>
      <w:r w:rsidR="000A0DDF" w:rsidRPr="00BB4320">
        <w:rPr>
          <w:rFonts w:ascii="Times New Roman" w:eastAsia="Cambria" w:hAnsi="Times New Roman"/>
        </w:rPr>
        <w:t>près examen et amendement du texte</w:t>
      </w:r>
      <w:r w:rsidR="00D109C3" w:rsidRPr="00BB4320">
        <w:rPr>
          <w:rFonts w:ascii="Times New Roman" w:eastAsia="Cambria" w:hAnsi="Times New Roman"/>
        </w:rPr>
        <w:t>,</w:t>
      </w:r>
      <w:r w:rsidR="000A0DDF" w:rsidRPr="00BB4320">
        <w:rPr>
          <w:rFonts w:ascii="Times New Roman" w:eastAsia="Cambria" w:hAnsi="Times New Roman"/>
        </w:rPr>
        <w:t xml:space="preserve"> l</w:t>
      </w:r>
      <w:r w:rsidR="00C32C64" w:rsidRPr="00BB4320">
        <w:rPr>
          <w:rFonts w:ascii="Times New Roman" w:eastAsia="Cambria" w:hAnsi="Times New Roman"/>
        </w:rPr>
        <w:t xml:space="preserve">a Commission </w:t>
      </w:r>
      <w:r w:rsidR="000A0DDF" w:rsidRPr="00BB4320">
        <w:rPr>
          <w:rFonts w:ascii="Times New Roman" w:eastAsia="Cambria" w:hAnsi="Times New Roman"/>
        </w:rPr>
        <w:t xml:space="preserve">de fond </w:t>
      </w:r>
      <w:r w:rsidR="00CE3269" w:rsidRPr="00BB4320">
        <w:rPr>
          <w:rFonts w:ascii="Times New Roman" w:eastAsia="Cambria" w:hAnsi="Times New Roman"/>
        </w:rPr>
        <w:t>estime que ce projet de loi est en état d’être adopté</w:t>
      </w:r>
      <w:r w:rsidR="00C12635">
        <w:rPr>
          <w:rFonts w:ascii="Times New Roman" w:eastAsia="Cambria" w:hAnsi="Times New Roman"/>
        </w:rPr>
        <w:t xml:space="preserve"> et souhaite qu’elle emporte l’adhésion de la plénière</w:t>
      </w:r>
      <w:r w:rsidR="00C32C64" w:rsidRPr="00BB4320">
        <w:rPr>
          <w:rFonts w:ascii="Times New Roman" w:eastAsia="Cambria" w:hAnsi="Times New Roman"/>
        </w:rPr>
        <w:t>.</w:t>
      </w:r>
    </w:p>
    <w:p w14:paraId="6A45447D" w14:textId="77777777" w:rsidR="00A135D5" w:rsidRDefault="00A135D5" w:rsidP="00C32C64">
      <w:pPr>
        <w:spacing w:line="360" w:lineRule="auto"/>
        <w:jc w:val="right"/>
        <w:rPr>
          <w:rFonts w:ascii="Times New Roman" w:eastAsia="Cambria" w:hAnsi="Times New Roman"/>
        </w:rPr>
      </w:pPr>
    </w:p>
    <w:p w14:paraId="6C8B92E9" w14:textId="1ABDDB46" w:rsidR="00C12635" w:rsidRDefault="00C12635" w:rsidP="00C12635">
      <w:pPr>
        <w:spacing w:line="360" w:lineRule="auto"/>
        <w:rPr>
          <w:rFonts w:ascii="Times New Roman" w:eastAsia="Cambria" w:hAnsi="Times New Roman"/>
        </w:rPr>
      </w:pPr>
      <w:r>
        <w:rPr>
          <w:rFonts w:ascii="Times New Roman" w:eastAsia="Cambria" w:hAnsi="Times New Roman"/>
        </w:rPr>
        <w:t>Je vous remercie </w:t>
      </w:r>
    </w:p>
    <w:p w14:paraId="69B6CAF5" w14:textId="31BDA3CD" w:rsidR="00C32C64" w:rsidRPr="00C31582" w:rsidRDefault="00C32C64" w:rsidP="00C31582">
      <w:pPr>
        <w:spacing w:line="360" w:lineRule="auto"/>
        <w:jc w:val="right"/>
        <w:rPr>
          <w:rFonts w:ascii="Times New Roman" w:eastAsia="Cambria" w:hAnsi="Times New Roman"/>
        </w:rPr>
      </w:pPr>
      <w:r w:rsidRPr="000015ED">
        <w:rPr>
          <w:rFonts w:ascii="Times New Roman" w:eastAsia="Cambria" w:hAnsi="Times New Roman"/>
        </w:rPr>
        <w:t>La Commission</w:t>
      </w:r>
    </w:p>
    <w:sectPr w:rsidR="00C32C64" w:rsidRPr="00C31582" w:rsidSect="006461F2">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3825" w14:textId="77777777" w:rsidR="00A62CE5" w:rsidRDefault="00A62CE5">
      <w:r>
        <w:separator/>
      </w:r>
    </w:p>
  </w:endnote>
  <w:endnote w:type="continuationSeparator" w:id="0">
    <w:p w14:paraId="122AD816" w14:textId="77777777" w:rsidR="00A62CE5" w:rsidRDefault="00A6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1C4E" w14:textId="77777777" w:rsidR="004C5A20" w:rsidRDefault="00A11626">
    <w:pPr>
      <w:pStyle w:val="Pieddepage"/>
      <w:jc w:val="right"/>
    </w:pPr>
    <w:r>
      <w:fldChar w:fldCharType="begin"/>
    </w:r>
    <w:r>
      <w:instrText xml:space="preserve"> PAGE   \* MERGEFORMAT </w:instrText>
    </w:r>
    <w:r>
      <w:fldChar w:fldCharType="separate"/>
    </w:r>
    <w:r>
      <w:rPr>
        <w:noProof/>
      </w:rPr>
      <w:t>3</w:t>
    </w:r>
    <w:r>
      <w:fldChar w:fldCharType="end"/>
    </w:r>
  </w:p>
  <w:p w14:paraId="3192A505" w14:textId="77777777" w:rsidR="004C5A20" w:rsidRDefault="004C5A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B187" w14:textId="77777777" w:rsidR="00A62CE5" w:rsidRDefault="00A62CE5">
      <w:r>
        <w:separator/>
      </w:r>
    </w:p>
  </w:footnote>
  <w:footnote w:type="continuationSeparator" w:id="0">
    <w:p w14:paraId="145D6802" w14:textId="77777777" w:rsidR="00A62CE5" w:rsidRDefault="00A62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1BC"/>
    <w:multiLevelType w:val="hybridMultilevel"/>
    <w:tmpl w:val="89F610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CC0EA1"/>
    <w:multiLevelType w:val="hybridMultilevel"/>
    <w:tmpl w:val="DFBE2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93017"/>
    <w:multiLevelType w:val="hybridMultilevel"/>
    <w:tmpl w:val="354C1C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D340EC"/>
    <w:multiLevelType w:val="hybridMultilevel"/>
    <w:tmpl w:val="56927460"/>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1D5FC8"/>
    <w:multiLevelType w:val="hybridMultilevel"/>
    <w:tmpl w:val="A4EC68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326ED4"/>
    <w:multiLevelType w:val="hybridMultilevel"/>
    <w:tmpl w:val="1E168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20068D"/>
    <w:multiLevelType w:val="hybridMultilevel"/>
    <w:tmpl w:val="B4468750"/>
    <w:lvl w:ilvl="0" w:tplc="040C0005">
      <w:start w:val="1"/>
      <w:numFmt w:val="bullet"/>
      <w:lvlText w:val=""/>
      <w:lvlJc w:val="left"/>
      <w:pPr>
        <w:ind w:left="720" w:hanging="360"/>
      </w:pPr>
      <w:rPr>
        <w:rFonts w:ascii="Wingdings" w:hAnsi="Wingdings" w:hint="default"/>
      </w:rPr>
    </w:lvl>
    <w:lvl w:ilvl="1" w:tplc="AC222122">
      <w:start w:val="1"/>
      <w:numFmt w:val="bullet"/>
      <w:lvlText w:val="o"/>
      <w:lvlJc w:val="left"/>
      <w:pPr>
        <w:ind w:left="1440" w:hanging="360"/>
      </w:pPr>
      <w:rPr>
        <w:rFonts w:ascii="Courier New" w:hAnsi="Courier New" w:hint="default"/>
      </w:rPr>
    </w:lvl>
    <w:lvl w:ilvl="2" w:tplc="68420270">
      <w:start w:val="1"/>
      <w:numFmt w:val="bullet"/>
      <w:lvlText w:val=""/>
      <w:lvlJc w:val="left"/>
      <w:pPr>
        <w:ind w:left="2160" w:hanging="360"/>
      </w:pPr>
      <w:rPr>
        <w:rFonts w:ascii="Wingdings" w:hAnsi="Wingdings" w:hint="default"/>
      </w:rPr>
    </w:lvl>
    <w:lvl w:ilvl="3" w:tplc="E9E47DA6">
      <w:start w:val="1"/>
      <w:numFmt w:val="bullet"/>
      <w:lvlText w:val=""/>
      <w:lvlJc w:val="left"/>
      <w:pPr>
        <w:ind w:left="2880" w:hanging="360"/>
      </w:pPr>
      <w:rPr>
        <w:rFonts w:ascii="Symbol" w:hAnsi="Symbol" w:hint="default"/>
      </w:rPr>
    </w:lvl>
    <w:lvl w:ilvl="4" w:tplc="E24C0C66">
      <w:start w:val="1"/>
      <w:numFmt w:val="bullet"/>
      <w:lvlText w:val="o"/>
      <w:lvlJc w:val="left"/>
      <w:pPr>
        <w:ind w:left="3600" w:hanging="360"/>
      </w:pPr>
      <w:rPr>
        <w:rFonts w:ascii="Courier New" w:hAnsi="Courier New" w:hint="default"/>
      </w:rPr>
    </w:lvl>
    <w:lvl w:ilvl="5" w:tplc="12521CEC">
      <w:start w:val="1"/>
      <w:numFmt w:val="bullet"/>
      <w:lvlText w:val=""/>
      <w:lvlJc w:val="left"/>
      <w:pPr>
        <w:ind w:left="4320" w:hanging="360"/>
      </w:pPr>
      <w:rPr>
        <w:rFonts w:ascii="Wingdings" w:hAnsi="Wingdings" w:hint="default"/>
      </w:rPr>
    </w:lvl>
    <w:lvl w:ilvl="6" w:tplc="E0F49760">
      <w:start w:val="1"/>
      <w:numFmt w:val="bullet"/>
      <w:lvlText w:val=""/>
      <w:lvlJc w:val="left"/>
      <w:pPr>
        <w:ind w:left="5040" w:hanging="360"/>
      </w:pPr>
      <w:rPr>
        <w:rFonts w:ascii="Symbol" w:hAnsi="Symbol" w:hint="default"/>
      </w:rPr>
    </w:lvl>
    <w:lvl w:ilvl="7" w:tplc="B406E992">
      <w:start w:val="1"/>
      <w:numFmt w:val="bullet"/>
      <w:lvlText w:val="o"/>
      <w:lvlJc w:val="left"/>
      <w:pPr>
        <w:ind w:left="5760" w:hanging="360"/>
      </w:pPr>
      <w:rPr>
        <w:rFonts w:ascii="Courier New" w:hAnsi="Courier New" w:hint="default"/>
      </w:rPr>
    </w:lvl>
    <w:lvl w:ilvl="8" w:tplc="31E0AF5C">
      <w:start w:val="1"/>
      <w:numFmt w:val="bullet"/>
      <w:lvlText w:val=""/>
      <w:lvlJc w:val="left"/>
      <w:pPr>
        <w:ind w:left="6480" w:hanging="360"/>
      </w:pPr>
      <w:rPr>
        <w:rFonts w:ascii="Wingdings" w:hAnsi="Wingdings" w:hint="default"/>
      </w:rPr>
    </w:lvl>
  </w:abstractNum>
  <w:abstractNum w:abstractNumId="7" w15:restartNumberingAfterBreak="0">
    <w:nsid w:val="1CDB2F27"/>
    <w:multiLevelType w:val="hybridMultilevel"/>
    <w:tmpl w:val="77E6264A"/>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FC86B1E"/>
    <w:multiLevelType w:val="hybridMultilevel"/>
    <w:tmpl w:val="C3949CB4"/>
    <w:lvl w:ilvl="0" w:tplc="4588C59E">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5935D8"/>
    <w:multiLevelType w:val="hybridMultilevel"/>
    <w:tmpl w:val="59CA0C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862FE2"/>
    <w:multiLevelType w:val="multilevel"/>
    <w:tmpl w:val="7194D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C7921"/>
    <w:multiLevelType w:val="hybridMultilevel"/>
    <w:tmpl w:val="877E8FE2"/>
    <w:lvl w:ilvl="0" w:tplc="040C0005">
      <w:start w:val="1"/>
      <w:numFmt w:val="bullet"/>
      <w:lvlText w:val=""/>
      <w:lvlJc w:val="left"/>
      <w:pPr>
        <w:ind w:left="1080" w:hanging="360"/>
      </w:pPr>
      <w:rPr>
        <w:rFonts w:ascii="Wingdings" w:hAnsi="Wingdings" w:hint="default"/>
        <w:b/>
        <w:bCs/>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CCB774C"/>
    <w:multiLevelType w:val="hybridMultilevel"/>
    <w:tmpl w:val="04AC8E82"/>
    <w:lvl w:ilvl="0" w:tplc="B5808174">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D32C80"/>
    <w:multiLevelType w:val="hybridMultilevel"/>
    <w:tmpl w:val="E34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ED2E84"/>
    <w:multiLevelType w:val="hybridMultilevel"/>
    <w:tmpl w:val="85D013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DF75014"/>
    <w:multiLevelType w:val="hybridMultilevel"/>
    <w:tmpl w:val="950086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12706D"/>
    <w:multiLevelType w:val="hybridMultilevel"/>
    <w:tmpl w:val="D05A907C"/>
    <w:lvl w:ilvl="0" w:tplc="040C000B">
      <w:start w:val="1"/>
      <w:numFmt w:val="bullet"/>
      <w:lvlText w:val=""/>
      <w:lvlJc w:val="left"/>
      <w:pPr>
        <w:ind w:left="720" w:hanging="360"/>
      </w:pPr>
      <w:rPr>
        <w:rFonts w:ascii="Wingdings" w:hAnsi="Wingdings" w:hint="default"/>
      </w:rPr>
    </w:lvl>
    <w:lvl w:ilvl="1" w:tplc="0FC4401A">
      <w:start w:val="1"/>
      <w:numFmt w:val="bullet"/>
      <w:lvlText w:val=""/>
      <w:lvlJc w:val="left"/>
      <w:pPr>
        <w:ind w:left="1440" w:hanging="360"/>
      </w:pPr>
      <w:rPr>
        <w:rFonts w:ascii="Wingdings" w:hAnsi="Wingdings" w:hint="default"/>
      </w:rPr>
    </w:lvl>
    <w:lvl w:ilvl="2" w:tplc="AD761154">
      <w:start w:val="1"/>
      <w:numFmt w:val="bullet"/>
      <w:lvlText w:val=""/>
      <w:lvlJc w:val="left"/>
      <w:pPr>
        <w:ind w:left="2160" w:hanging="360"/>
      </w:pPr>
      <w:rPr>
        <w:rFonts w:ascii="Wingdings" w:hAnsi="Wingdings" w:hint="default"/>
      </w:rPr>
    </w:lvl>
    <w:lvl w:ilvl="3" w:tplc="072EAA9E">
      <w:start w:val="1"/>
      <w:numFmt w:val="bullet"/>
      <w:lvlText w:val=""/>
      <w:lvlJc w:val="left"/>
      <w:pPr>
        <w:ind w:left="2880" w:hanging="360"/>
      </w:pPr>
      <w:rPr>
        <w:rFonts w:ascii="Symbol" w:hAnsi="Symbol" w:hint="default"/>
      </w:rPr>
    </w:lvl>
    <w:lvl w:ilvl="4" w:tplc="12F6C6C2">
      <w:start w:val="1"/>
      <w:numFmt w:val="bullet"/>
      <w:lvlText w:val="o"/>
      <w:lvlJc w:val="left"/>
      <w:pPr>
        <w:ind w:left="3600" w:hanging="360"/>
      </w:pPr>
      <w:rPr>
        <w:rFonts w:ascii="Courier New" w:hAnsi="Courier New" w:hint="default"/>
      </w:rPr>
    </w:lvl>
    <w:lvl w:ilvl="5" w:tplc="BDDE882E">
      <w:start w:val="1"/>
      <w:numFmt w:val="bullet"/>
      <w:lvlText w:val=""/>
      <w:lvlJc w:val="left"/>
      <w:pPr>
        <w:ind w:left="4320" w:hanging="360"/>
      </w:pPr>
      <w:rPr>
        <w:rFonts w:ascii="Wingdings" w:hAnsi="Wingdings" w:hint="default"/>
      </w:rPr>
    </w:lvl>
    <w:lvl w:ilvl="6" w:tplc="D2CC86B8">
      <w:start w:val="1"/>
      <w:numFmt w:val="bullet"/>
      <w:lvlText w:val=""/>
      <w:lvlJc w:val="left"/>
      <w:pPr>
        <w:ind w:left="5040" w:hanging="360"/>
      </w:pPr>
      <w:rPr>
        <w:rFonts w:ascii="Symbol" w:hAnsi="Symbol" w:hint="default"/>
      </w:rPr>
    </w:lvl>
    <w:lvl w:ilvl="7" w:tplc="B09E53CA">
      <w:start w:val="1"/>
      <w:numFmt w:val="bullet"/>
      <w:lvlText w:val="o"/>
      <w:lvlJc w:val="left"/>
      <w:pPr>
        <w:ind w:left="5760" w:hanging="360"/>
      </w:pPr>
      <w:rPr>
        <w:rFonts w:ascii="Courier New" w:hAnsi="Courier New" w:hint="default"/>
      </w:rPr>
    </w:lvl>
    <w:lvl w:ilvl="8" w:tplc="D69A8E02">
      <w:start w:val="1"/>
      <w:numFmt w:val="bullet"/>
      <w:lvlText w:val=""/>
      <w:lvlJc w:val="left"/>
      <w:pPr>
        <w:ind w:left="6480" w:hanging="360"/>
      </w:pPr>
      <w:rPr>
        <w:rFonts w:ascii="Wingdings" w:hAnsi="Wingdings" w:hint="default"/>
      </w:rPr>
    </w:lvl>
  </w:abstractNum>
  <w:abstractNum w:abstractNumId="17" w15:restartNumberingAfterBreak="0">
    <w:nsid w:val="54917D1A"/>
    <w:multiLevelType w:val="hybridMultilevel"/>
    <w:tmpl w:val="5E4AD8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61A3C81"/>
    <w:multiLevelType w:val="hybridMultilevel"/>
    <w:tmpl w:val="6828406C"/>
    <w:lvl w:ilvl="0" w:tplc="040C0005">
      <w:start w:val="1"/>
      <w:numFmt w:val="bullet"/>
      <w:lvlText w:val=""/>
      <w:lvlJc w:val="left"/>
      <w:pPr>
        <w:ind w:left="1428" w:hanging="360"/>
      </w:pPr>
      <w:rPr>
        <w:rFonts w:ascii="Wingdings" w:hAnsi="Wingdings" w:hint="default"/>
        <w:b/>
        <w:bCs/>
        <w:strike w:val="0"/>
        <w:color w:val="auto"/>
        <w:w w:val="95"/>
        <w:sz w:val="22"/>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9" w15:restartNumberingAfterBreak="0">
    <w:nsid w:val="6CA24183"/>
    <w:multiLevelType w:val="multilevel"/>
    <w:tmpl w:val="9D52C222"/>
    <w:lvl w:ilvl="0">
      <w:start w:val="2"/>
      <w:numFmt w:val="bullet"/>
      <w:lvlText w:val="-"/>
      <w:lvlJc w:val="left"/>
      <w:pPr>
        <w:tabs>
          <w:tab w:val="num" w:pos="720"/>
        </w:tabs>
        <w:ind w:left="720" w:hanging="360"/>
      </w:pPr>
      <w:rPr>
        <w:rFonts w:ascii="Times New Roman" w:eastAsia="Times New Roman" w:hAnsi="Times New Roman" w:cs="Times New Roman" w:hint="default"/>
        <w:b/>
        <w:bCs/>
        <w:sz w:val="22"/>
      </w:rPr>
    </w:lvl>
    <w:lvl w:ilvl="1">
      <w:start w:val="1"/>
      <w:numFmt w:val="bullet"/>
      <w:lvlText w:val=""/>
      <w:lvlJc w:val="left"/>
      <w:pPr>
        <w:ind w:left="10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BB5C32"/>
    <w:multiLevelType w:val="hybridMultilevel"/>
    <w:tmpl w:val="6EDEC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9C7E46"/>
    <w:multiLevelType w:val="hybridMultilevel"/>
    <w:tmpl w:val="1B70E5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20097140">
    <w:abstractNumId w:val="6"/>
  </w:num>
  <w:num w:numId="2" w16cid:durableId="276912901">
    <w:abstractNumId w:val="16"/>
  </w:num>
  <w:num w:numId="3" w16cid:durableId="351032456">
    <w:abstractNumId w:val="15"/>
  </w:num>
  <w:num w:numId="4" w16cid:durableId="545143167">
    <w:abstractNumId w:val="2"/>
  </w:num>
  <w:num w:numId="5" w16cid:durableId="460539145">
    <w:abstractNumId w:val="7"/>
  </w:num>
  <w:num w:numId="6" w16cid:durableId="840003092">
    <w:abstractNumId w:val="19"/>
  </w:num>
  <w:num w:numId="7" w16cid:durableId="1166020284">
    <w:abstractNumId w:val="10"/>
  </w:num>
  <w:num w:numId="8" w16cid:durableId="995497875">
    <w:abstractNumId w:val="11"/>
  </w:num>
  <w:num w:numId="9" w16cid:durableId="1472093593">
    <w:abstractNumId w:val="18"/>
  </w:num>
  <w:num w:numId="10" w16cid:durableId="306907361">
    <w:abstractNumId w:val="17"/>
  </w:num>
  <w:num w:numId="11" w16cid:durableId="913005857">
    <w:abstractNumId w:val="0"/>
  </w:num>
  <w:num w:numId="12" w16cid:durableId="1212693760">
    <w:abstractNumId w:val="21"/>
  </w:num>
  <w:num w:numId="13" w16cid:durableId="540633465">
    <w:abstractNumId w:val="4"/>
  </w:num>
  <w:num w:numId="14" w16cid:durableId="1904562095">
    <w:abstractNumId w:val="9"/>
  </w:num>
  <w:num w:numId="15" w16cid:durableId="244269035">
    <w:abstractNumId w:val="14"/>
  </w:num>
  <w:num w:numId="16" w16cid:durableId="906913076">
    <w:abstractNumId w:val="12"/>
  </w:num>
  <w:num w:numId="17" w16cid:durableId="971442612">
    <w:abstractNumId w:val="8"/>
  </w:num>
  <w:num w:numId="18" w16cid:durableId="83233470">
    <w:abstractNumId w:val="13"/>
  </w:num>
  <w:num w:numId="19" w16cid:durableId="1782412942">
    <w:abstractNumId w:val="20"/>
  </w:num>
  <w:num w:numId="20" w16cid:durableId="335040757">
    <w:abstractNumId w:val="5"/>
  </w:num>
  <w:num w:numId="21" w16cid:durableId="1720665465">
    <w:abstractNumId w:val="1"/>
  </w:num>
  <w:num w:numId="22" w16cid:durableId="1288857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64"/>
    <w:rsid w:val="000015ED"/>
    <w:rsid w:val="0000420E"/>
    <w:rsid w:val="00012F23"/>
    <w:rsid w:val="0001477B"/>
    <w:rsid w:val="00026E81"/>
    <w:rsid w:val="0003670F"/>
    <w:rsid w:val="000464A2"/>
    <w:rsid w:val="00065B80"/>
    <w:rsid w:val="000A0DDF"/>
    <w:rsid w:val="000A1E18"/>
    <w:rsid w:val="000A737E"/>
    <w:rsid w:val="000F3CE1"/>
    <w:rsid w:val="00123904"/>
    <w:rsid w:val="00143F00"/>
    <w:rsid w:val="00167883"/>
    <w:rsid w:val="00183107"/>
    <w:rsid w:val="00187DAC"/>
    <w:rsid w:val="00192544"/>
    <w:rsid w:val="00192F4A"/>
    <w:rsid w:val="00195380"/>
    <w:rsid w:val="001C14B5"/>
    <w:rsid w:val="001E2520"/>
    <w:rsid w:val="001F32C2"/>
    <w:rsid w:val="002031B1"/>
    <w:rsid w:val="00211206"/>
    <w:rsid w:val="00227E4C"/>
    <w:rsid w:val="00236CA4"/>
    <w:rsid w:val="00251FF4"/>
    <w:rsid w:val="00252012"/>
    <w:rsid w:val="00290755"/>
    <w:rsid w:val="002C418E"/>
    <w:rsid w:val="002E26D1"/>
    <w:rsid w:val="002E40CF"/>
    <w:rsid w:val="002F3662"/>
    <w:rsid w:val="00315205"/>
    <w:rsid w:val="00322D83"/>
    <w:rsid w:val="0035433B"/>
    <w:rsid w:val="00375077"/>
    <w:rsid w:val="003812AC"/>
    <w:rsid w:val="0038299F"/>
    <w:rsid w:val="0040776B"/>
    <w:rsid w:val="00455D94"/>
    <w:rsid w:val="004C5A20"/>
    <w:rsid w:val="00520B4F"/>
    <w:rsid w:val="00524707"/>
    <w:rsid w:val="005547D2"/>
    <w:rsid w:val="005608DC"/>
    <w:rsid w:val="00560BD2"/>
    <w:rsid w:val="005868D1"/>
    <w:rsid w:val="00596628"/>
    <w:rsid w:val="005B468D"/>
    <w:rsid w:val="005C5431"/>
    <w:rsid w:val="005D2CF6"/>
    <w:rsid w:val="005D335B"/>
    <w:rsid w:val="00621CD7"/>
    <w:rsid w:val="00626B97"/>
    <w:rsid w:val="006755D1"/>
    <w:rsid w:val="00682572"/>
    <w:rsid w:val="00696F72"/>
    <w:rsid w:val="006A542D"/>
    <w:rsid w:val="006F50D7"/>
    <w:rsid w:val="00700C8C"/>
    <w:rsid w:val="00706B46"/>
    <w:rsid w:val="00737D33"/>
    <w:rsid w:val="00742FED"/>
    <w:rsid w:val="00767239"/>
    <w:rsid w:val="00787D9D"/>
    <w:rsid w:val="00797826"/>
    <w:rsid w:val="007A7CE4"/>
    <w:rsid w:val="007F3074"/>
    <w:rsid w:val="007F649E"/>
    <w:rsid w:val="008116CD"/>
    <w:rsid w:val="00832646"/>
    <w:rsid w:val="00880364"/>
    <w:rsid w:val="008B2EEF"/>
    <w:rsid w:val="008D1A11"/>
    <w:rsid w:val="008F7C2C"/>
    <w:rsid w:val="009252C3"/>
    <w:rsid w:val="00946757"/>
    <w:rsid w:val="00972F6F"/>
    <w:rsid w:val="009A4905"/>
    <w:rsid w:val="009B14D3"/>
    <w:rsid w:val="00A055D3"/>
    <w:rsid w:val="00A11626"/>
    <w:rsid w:val="00A135D5"/>
    <w:rsid w:val="00A1670F"/>
    <w:rsid w:val="00A55D81"/>
    <w:rsid w:val="00A62CE5"/>
    <w:rsid w:val="00A7071F"/>
    <w:rsid w:val="00A71838"/>
    <w:rsid w:val="00AD05B0"/>
    <w:rsid w:val="00B01902"/>
    <w:rsid w:val="00B15600"/>
    <w:rsid w:val="00B363EF"/>
    <w:rsid w:val="00B45196"/>
    <w:rsid w:val="00B653D1"/>
    <w:rsid w:val="00B7562D"/>
    <w:rsid w:val="00BA0AC3"/>
    <w:rsid w:val="00BA12AD"/>
    <w:rsid w:val="00BB0FDC"/>
    <w:rsid w:val="00BB4320"/>
    <w:rsid w:val="00BF6623"/>
    <w:rsid w:val="00C02BAA"/>
    <w:rsid w:val="00C12635"/>
    <w:rsid w:val="00C31582"/>
    <w:rsid w:val="00C31C2A"/>
    <w:rsid w:val="00C32C64"/>
    <w:rsid w:val="00C60E68"/>
    <w:rsid w:val="00C863F2"/>
    <w:rsid w:val="00CD165C"/>
    <w:rsid w:val="00CE3269"/>
    <w:rsid w:val="00CF17A5"/>
    <w:rsid w:val="00D06C17"/>
    <w:rsid w:val="00D109C3"/>
    <w:rsid w:val="00D232A9"/>
    <w:rsid w:val="00D3596B"/>
    <w:rsid w:val="00D42696"/>
    <w:rsid w:val="00D53EAB"/>
    <w:rsid w:val="00E32603"/>
    <w:rsid w:val="00E32852"/>
    <w:rsid w:val="00E51F90"/>
    <w:rsid w:val="00E67511"/>
    <w:rsid w:val="00E70666"/>
    <w:rsid w:val="00E82F4C"/>
    <w:rsid w:val="00E97506"/>
    <w:rsid w:val="00EE5CD6"/>
    <w:rsid w:val="00F2315C"/>
    <w:rsid w:val="00F375B5"/>
    <w:rsid w:val="00F9611C"/>
    <w:rsid w:val="00FE2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0C4F"/>
  <w15:chartTrackingRefBased/>
  <w15:docId w15:val="{56842B8B-52BD-4625-BFA4-2365F66E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C64"/>
    <w:pPr>
      <w:spacing w:after="0" w:line="240" w:lineRule="auto"/>
    </w:pPr>
    <w:rPr>
      <w:rFonts w:ascii="Cambria" w:eastAsia="MS Mincho" w:hAnsi="Cambria" w:cs="Times New Roman"/>
      <w:kern w:val="0"/>
      <w:sz w:val="24"/>
      <w:szCs w:val="24"/>
      <w:lang w:eastAsia="fr-FR"/>
      <w14:ligatures w14:val="none"/>
    </w:rPr>
  </w:style>
  <w:style w:type="paragraph" w:styleId="Titre3">
    <w:name w:val="heading 3"/>
    <w:basedOn w:val="Normal"/>
    <w:next w:val="Normal"/>
    <w:link w:val="Titre3Car"/>
    <w:uiPriority w:val="9"/>
    <w:unhideWhenUsed/>
    <w:qFormat/>
    <w:rsid w:val="002C418E"/>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Titre4">
    <w:name w:val="heading 4"/>
    <w:basedOn w:val="Normal"/>
    <w:next w:val="Normal"/>
    <w:link w:val="Titre4Car"/>
    <w:uiPriority w:val="9"/>
    <w:unhideWhenUsed/>
    <w:qFormat/>
    <w:rsid w:val="007F649E"/>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B List 1,Bullet Points,List Paragraph1,ProcessA,Liste couleur - Accent 14,Colorful List Accent 1,Colorful List - Accent 12,Paragraphe de liste1,Par. de liste,LB Puces,Liste couleur - Accent 11"/>
    <w:basedOn w:val="Normal"/>
    <w:link w:val="ParagraphedelisteCar"/>
    <w:uiPriority w:val="34"/>
    <w:qFormat/>
    <w:rsid w:val="00C32C64"/>
    <w:pPr>
      <w:ind w:left="720"/>
      <w:contextualSpacing/>
    </w:pPr>
  </w:style>
  <w:style w:type="paragraph" w:styleId="Pieddepage">
    <w:name w:val="footer"/>
    <w:basedOn w:val="Normal"/>
    <w:link w:val="PieddepageCar"/>
    <w:uiPriority w:val="99"/>
    <w:unhideWhenUsed/>
    <w:rsid w:val="00C32C64"/>
    <w:pPr>
      <w:tabs>
        <w:tab w:val="center" w:pos="4536"/>
        <w:tab w:val="right" w:pos="9072"/>
      </w:tabs>
    </w:pPr>
  </w:style>
  <w:style w:type="character" w:customStyle="1" w:styleId="PieddepageCar">
    <w:name w:val="Pied de page Car"/>
    <w:basedOn w:val="Policepardfaut"/>
    <w:link w:val="Pieddepage"/>
    <w:uiPriority w:val="99"/>
    <w:rsid w:val="00C32C64"/>
    <w:rPr>
      <w:rFonts w:ascii="Cambria" w:eastAsia="MS Mincho" w:hAnsi="Cambria" w:cs="Times New Roman"/>
      <w:kern w:val="0"/>
      <w:sz w:val="24"/>
      <w:szCs w:val="24"/>
      <w:lang w:eastAsia="fr-FR"/>
      <w14:ligatures w14:val="none"/>
    </w:rPr>
  </w:style>
  <w:style w:type="paragraph" w:styleId="Commentaire">
    <w:name w:val="annotation text"/>
    <w:basedOn w:val="Normal"/>
    <w:link w:val="CommentaireCar"/>
    <w:uiPriority w:val="99"/>
    <w:semiHidden/>
    <w:unhideWhenUsed/>
    <w:rsid w:val="0035433B"/>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35433B"/>
    <w:rPr>
      <w:kern w:val="0"/>
      <w:sz w:val="20"/>
      <w:szCs w:val="20"/>
      <w14:ligatures w14:val="none"/>
    </w:rPr>
  </w:style>
  <w:style w:type="character" w:styleId="Marquedecommentaire">
    <w:name w:val="annotation reference"/>
    <w:basedOn w:val="Policepardfaut"/>
    <w:uiPriority w:val="99"/>
    <w:semiHidden/>
    <w:unhideWhenUsed/>
    <w:rsid w:val="0035433B"/>
    <w:rPr>
      <w:sz w:val="16"/>
      <w:szCs w:val="16"/>
    </w:rPr>
  </w:style>
  <w:style w:type="character" w:customStyle="1" w:styleId="Titre4Car">
    <w:name w:val="Titre 4 Car"/>
    <w:basedOn w:val="Policepardfaut"/>
    <w:link w:val="Titre4"/>
    <w:uiPriority w:val="9"/>
    <w:rsid w:val="007F649E"/>
    <w:rPr>
      <w:rFonts w:asciiTheme="majorHAnsi" w:eastAsiaTheme="majorEastAsia" w:hAnsiTheme="majorHAnsi" w:cstheme="majorBidi"/>
      <w:i/>
      <w:iCs/>
      <w:color w:val="2F5496" w:themeColor="accent1" w:themeShade="BF"/>
      <w:kern w:val="0"/>
      <w14:ligatures w14:val="none"/>
    </w:rPr>
  </w:style>
  <w:style w:type="character" w:customStyle="1" w:styleId="Titre3Car">
    <w:name w:val="Titre 3 Car"/>
    <w:basedOn w:val="Policepardfaut"/>
    <w:link w:val="Titre3"/>
    <w:uiPriority w:val="9"/>
    <w:rsid w:val="002C418E"/>
    <w:rPr>
      <w:rFonts w:asciiTheme="majorHAnsi" w:eastAsiaTheme="majorEastAsia" w:hAnsiTheme="majorHAnsi" w:cstheme="majorBidi"/>
      <w:color w:val="1F3763" w:themeColor="accent1" w:themeShade="7F"/>
      <w:kern w:val="0"/>
      <w:sz w:val="24"/>
      <w:szCs w:val="24"/>
      <w14:ligatures w14:val="none"/>
    </w:rPr>
  </w:style>
  <w:style w:type="character" w:customStyle="1" w:styleId="ParagraphedelisteCar">
    <w:name w:val="Paragraphe de liste Car"/>
    <w:aliases w:val="AB List 1 Car,Bullet Points Car,List Paragraph1 Car,ProcessA Car,Liste couleur - Accent 14 Car,Colorful List Accent 1 Car,Colorful List - Accent 12 Car,Paragraphe de liste1 Car,Par. de liste Car,LB Puces Car"/>
    <w:link w:val="Paragraphedeliste"/>
    <w:uiPriority w:val="34"/>
    <w:qFormat/>
    <w:locked/>
    <w:rsid w:val="002C418E"/>
    <w:rPr>
      <w:rFonts w:ascii="Cambria" w:eastAsia="MS Mincho" w:hAnsi="Cambria" w:cs="Times New Roman"/>
      <w:kern w:val="0"/>
      <w:sz w:val="24"/>
      <w:szCs w:val="24"/>
      <w:lang w:eastAsia="fr-FR"/>
      <w14:ligatures w14:val="none"/>
    </w:rPr>
  </w:style>
  <w:style w:type="character" w:customStyle="1" w:styleId="fontstyle01">
    <w:name w:val="fontstyle01"/>
    <w:basedOn w:val="Policepardfaut"/>
    <w:rsid w:val="006A542D"/>
    <w:rPr>
      <w:rFonts w:ascii="Tahoma" w:hAnsi="Tahoma" w:cs="Tahoma"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1983">
      <w:bodyDiv w:val="1"/>
      <w:marLeft w:val="0"/>
      <w:marRight w:val="0"/>
      <w:marTop w:val="0"/>
      <w:marBottom w:val="0"/>
      <w:divBdr>
        <w:top w:val="none" w:sz="0" w:space="0" w:color="auto"/>
        <w:left w:val="none" w:sz="0" w:space="0" w:color="auto"/>
        <w:bottom w:val="none" w:sz="0" w:space="0" w:color="auto"/>
        <w:right w:val="none" w:sz="0" w:space="0" w:color="auto"/>
      </w:divBdr>
    </w:div>
    <w:div w:id="981694801">
      <w:bodyDiv w:val="1"/>
      <w:marLeft w:val="0"/>
      <w:marRight w:val="0"/>
      <w:marTop w:val="0"/>
      <w:marBottom w:val="0"/>
      <w:divBdr>
        <w:top w:val="none" w:sz="0" w:space="0" w:color="auto"/>
        <w:left w:val="none" w:sz="0" w:space="0" w:color="auto"/>
        <w:bottom w:val="none" w:sz="0" w:space="0" w:color="auto"/>
        <w:right w:val="none" w:sz="0" w:space="0" w:color="auto"/>
      </w:divBdr>
    </w:div>
    <w:div w:id="1231035729">
      <w:bodyDiv w:val="1"/>
      <w:marLeft w:val="0"/>
      <w:marRight w:val="0"/>
      <w:marTop w:val="0"/>
      <w:marBottom w:val="0"/>
      <w:divBdr>
        <w:top w:val="none" w:sz="0" w:space="0" w:color="auto"/>
        <w:left w:val="none" w:sz="0" w:space="0" w:color="auto"/>
        <w:bottom w:val="none" w:sz="0" w:space="0" w:color="auto"/>
        <w:right w:val="none" w:sz="0" w:space="0" w:color="auto"/>
      </w:divBdr>
    </w:div>
    <w:div w:id="1244336003">
      <w:bodyDiv w:val="1"/>
      <w:marLeft w:val="0"/>
      <w:marRight w:val="0"/>
      <w:marTop w:val="0"/>
      <w:marBottom w:val="0"/>
      <w:divBdr>
        <w:top w:val="none" w:sz="0" w:space="0" w:color="auto"/>
        <w:left w:val="none" w:sz="0" w:space="0" w:color="auto"/>
        <w:bottom w:val="none" w:sz="0" w:space="0" w:color="auto"/>
        <w:right w:val="none" w:sz="0" w:space="0" w:color="auto"/>
      </w:divBdr>
    </w:div>
    <w:div w:id="1542088654">
      <w:bodyDiv w:val="1"/>
      <w:marLeft w:val="0"/>
      <w:marRight w:val="0"/>
      <w:marTop w:val="0"/>
      <w:marBottom w:val="0"/>
      <w:divBdr>
        <w:top w:val="none" w:sz="0" w:space="0" w:color="auto"/>
        <w:left w:val="none" w:sz="0" w:space="0" w:color="auto"/>
        <w:bottom w:val="none" w:sz="0" w:space="0" w:color="auto"/>
        <w:right w:val="none" w:sz="0" w:space="0" w:color="auto"/>
      </w:divBdr>
    </w:div>
    <w:div w:id="1572499384">
      <w:bodyDiv w:val="1"/>
      <w:marLeft w:val="0"/>
      <w:marRight w:val="0"/>
      <w:marTop w:val="0"/>
      <w:marBottom w:val="0"/>
      <w:divBdr>
        <w:top w:val="none" w:sz="0" w:space="0" w:color="auto"/>
        <w:left w:val="none" w:sz="0" w:space="0" w:color="auto"/>
        <w:bottom w:val="none" w:sz="0" w:space="0" w:color="auto"/>
        <w:right w:val="none" w:sz="0" w:space="0" w:color="auto"/>
      </w:divBdr>
    </w:div>
    <w:div w:id="1621454744">
      <w:bodyDiv w:val="1"/>
      <w:marLeft w:val="0"/>
      <w:marRight w:val="0"/>
      <w:marTop w:val="0"/>
      <w:marBottom w:val="0"/>
      <w:divBdr>
        <w:top w:val="none" w:sz="0" w:space="0" w:color="auto"/>
        <w:left w:val="none" w:sz="0" w:space="0" w:color="auto"/>
        <w:bottom w:val="none" w:sz="0" w:space="0" w:color="auto"/>
        <w:right w:val="none" w:sz="0" w:space="0" w:color="auto"/>
      </w:divBdr>
      <w:divsChild>
        <w:div w:id="1479301457">
          <w:marLeft w:val="0"/>
          <w:marRight w:val="0"/>
          <w:marTop w:val="0"/>
          <w:marBottom w:val="0"/>
          <w:divBdr>
            <w:top w:val="none" w:sz="0" w:space="0" w:color="auto"/>
            <w:left w:val="none" w:sz="0" w:space="0" w:color="auto"/>
            <w:bottom w:val="none" w:sz="0" w:space="0" w:color="auto"/>
            <w:right w:val="none" w:sz="0" w:space="0" w:color="auto"/>
          </w:divBdr>
        </w:div>
        <w:div w:id="554240679">
          <w:marLeft w:val="0"/>
          <w:marRight w:val="0"/>
          <w:marTop w:val="0"/>
          <w:marBottom w:val="0"/>
          <w:divBdr>
            <w:top w:val="none" w:sz="0" w:space="0" w:color="auto"/>
            <w:left w:val="none" w:sz="0" w:space="0" w:color="auto"/>
            <w:bottom w:val="none" w:sz="0" w:space="0" w:color="auto"/>
            <w:right w:val="none" w:sz="0" w:space="0" w:color="auto"/>
          </w:divBdr>
        </w:div>
        <w:div w:id="761873610">
          <w:marLeft w:val="0"/>
          <w:marRight w:val="0"/>
          <w:marTop w:val="0"/>
          <w:marBottom w:val="0"/>
          <w:divBdr>
            <w:top w:val="none" w:sz="0" w:space="0" w:color="auto"/>
            <w:left w:val="none" w:sz="0" w:space="0" w:color="auto"/>
            <w:bottom w:val="none" w:sz="0" w:space="0" w:color="auto"/>
            <w:right w:val="none" w:sz="0" w:space="0" w:color="auto"/>
          </w:divBdr>
        </w:div>
        <w:div w:id="645595665">
          <w:marLeft w:val="0"/>
          <w:marRight w:val="0"/>
          <w:marTop w:val="0"/>
          <w:marBottom w:val="0"/>
          <w:divBdr>
            <w:top w:val="none" w:sz="0" w:space="0" w:color="auto"/>
            <w:left w:val="none" w:sz="0" w:space="0" w:color="auto"/>
            <w:bottom w:val="none" w:sz="0" w:space="0" w:color="auto"/>
            <w:right w:val="none" w:sz="0" w:space="0" w:color="auto"/>
          </w:divBdr>
        </w:div>
      </w:divsChild>
    </w:div>
    <w:div w:id="1631977549">
      <w:bodyDiv w:val="1"/>
      <w:marLeft w:val="0"/>
      <w:marRight w:val="0"/>
      <w:marTop w:val="0"/>
      <w:marBottom w:val="0"/>
      <w:divBdr>
        <w:top w:val="none" w:sz="0" w:space="0" w:color="auto"/>
        <w:left w:val="none" w:sz="0" w:space="0" w:color="auto"/>
        <w:bottom w:val="none" w:sz="0" w:space="0" w:color="auto"/>
        <w:right w:val="none" w:sz="0" w:space="0" w:color="auto"/>
      </w:divBdr>
      <w:divsChild>
        <w:div w:id="1619529119">
          <w:marLeft w:val="0"/>
          <w:marRight w:val="0"/>
          <w:marTop w:val="0"/>
          <w:marBottom w:val="0"/>
          <w:divBdr>
            <w:top w:val="none" w:sz="0" w:space="0" w:color="auto"/>
            <w:left w:val="none" w:sz="0" w:space="0" w:color="auto"/>
            <w:bottom w:val="none" w:sz="0" w:space="0" w:color="auto"/>
            <w:right w:val="none" w:sz="0" w:space="0" w:color="auto"/>
          </w:divBdr>
        </w:div>
        <w:div w:id="695158116">
          <w:marLeft w:val="0"/>
          <w:marRight w:val="0"/>
          <w:marTop w:val="0"/>
          <w:marBottom w:val="0"/>
          <w:divBdr>
            <w:top w:val="none" w:sz="0" w:space="0" w:color="auto"/>
            <w:left w:val="none" w:sz="0" w:space="0" w:color="auto"/>
            <w:bottom w:val="none" w:sz="0" w:space="0" w:color="auto"/>
            <w:right w:val="none" w:sz="0" w:space="0" w:color="auto"/>
          </w:divBdr>
        </w:div>
        <w:div w:id="757485347">
          <w:marLeft w:val="0"/>
          <w:marRight w:val="0"/>
          <w:marTop w:val="0"/>
          <w:marBottom w:val="0"/>
          <w:divBdr>
            <w:top w:val="none" w:sz="0" w:space="0" w:color="auto"/>
            <w:left w:val="none" w:sz="0" w:space="0" w:color="auto"/>
            <w:bottom w:val="none" w:sz="0" w:space="0" w:color="auto"/>
            <w:right w:val="none" w:sz="0" w:space="0" w:color="auto"/>
          </w:divBdr>
        </w:div>
        <w:div w:id="497502417">
          <w:marLeft w:val="0"/>
          <w:marRight w:val="0"/>
          <w:marTop w:val="0"/>
          <w:marBottom w:val="0"/>
          <w:divBdr>
            <w:top w:val="none" w:sz="0" w:space="0" w:color="auto"/>
            <w:left w:val="none" w:sz="0" w:space="0" w:color="auto"/>
            <w:bottom w:val="none" w:sz="0" w:space="0" w:color="auto"/>
            <w:right w:val="none" w:sz="0" w:space="0" w:color="auto"/>
          </w:divBdr>
        </w:div>
        <w:div w:id="130559625">
          <w:marLeft w:val="0"/>
          <w:marRight w:val="0"/>
          <w:marTop w:val="0"/>
          <w:marBottom w:val="0"/>
          <w:divBdr>
            <w:top w:val="none" w:sz="0" w:space="0" w:color="auto"/>
            <w:left w:val="none" w:sz="0" w:space="0" w:color="auto"/>
            <w:bottom w:val="none" w:sz="0" w:space="0" w:color="auto"/>
            <w:right w:val="none" w:sz="0" w:space="0" w:color="auto"/>
          </w:divBdr>
        </w:div>
        <w:div w:id="1450196483">
          <w:marLeft w:val="0"/>
          <w:marRight w:val="0"/>
          <w:marTop w:val="0"/>
          <w:marBottom w:val="0"/>
          <w:divBdr>
            <w:top w:val="none" w:sz="0" w:space="0" w:color="auto"/>
            <w:left w:val="none" w:sz="0" w:space="0" w:color="auto"/>
            <w:bottom w:val="none" w:sz="0" w:space="0" w:color="auto"/>
            <w:right w:val="none" w:sz="0" w:space="0" w:color="auto"/>
          </w:divBdr>
        </w:div>
        <w:div w:id="63139471">
          <w:marLeft w:val="0"/>
          <w:marRight w:val="0"/>
          <w:marTop w:val="0"/>
          <w:marBottom w:val="0"/>
          <w:divBdr>
            <w:top w:val="none" w:sz="0" w:space="0" w:color="auto"/>
            <w:left w:val="none" w:sz="0" w:space="0" w:color="auto"/>
            <w:bottom w:val="none" w:sz="0" w:space="0" w:color="auto"/>
            <w:right w:val="none" w:sz="0" w:space="0" w:color="auto"/>
          </w:divBdr>
        </w:div>
        <w:div w:id="415134270">
          <w:marLeft w:val="0"/>
          <w:marRight w:val="0"/>
          <w:marTop w:val="0"/>
          <w:marBottom w:val="0"/>
          <w:divBdr>
            <w:top w:val="none" w:sz="0" w:space="0" w:color="auto"/>
            <w:left w:val="none" w:sz="0" w:space="0" w:color="auto"/>
            <w:bottom w:val="none" w:sz="0" w:space="0" w:color="auto"/>
            <w:right w:val="none" w:sz="0" w:space="0" w:color="auto"/>
          </w:divBdr>
        </w:div>
      </w:divsChild>
    </w:div>
    <w:div w:id="1695694103">
      <w:bodyDiv w:val="1"/>
      <w:marLeft w:val="0"/>
      <w:marRight w:val="0"/>
      <w:marTop w:val="0"/>
      <w:marBottom w:val="0"/>
      <w:divBdr>
        <w:top w:val="none" w:sz="0" w:space="0" w:color="auto"/>
        <w:left w:val="none" w:sz="0" w:space="0" w:color="auto"/>
        <w:bottom w:val="none" w:sz="0" w:space="0" w:color="auto"/>
        <w:right w:val="none" w:sz="0" w:space="0" w:color="auto"/>
      </w:divBdr>
      <w:divsChild>
        <w:div w:id="607928733">
          <w:marLeft w:val="0"/>
          <w:marRight w:val="0"/>
          <w:marTop w:val="0"/>
          <w:marBottom w:val="0"/>
          <w:divBdr>
            <w:top w:val="none" w:sz="0" w:space="0" w:color="auto"/>
            <w:left w:val="none" w:sz="0" w:space="0" w:color="auto"/>
            <w:bottom w:val="none" w:sz="0" w:space="0" w:color="auto"/>
            <w:right w:val="none" w:sz="0" w:space="0" w:color="auto"/>
          </w:divBdr>
        </w:div>
        <w:div w:id="1381058074">
          <w:marLeft w:val="0"/>
          <w:marRight w:val="0"/>
          <w:marTop w:val="0"/>
          <w:marBottom w:val="0"/>
          <w:divBdr>
            <w:top w:val="none" w:sz="0" w:space="0" w:color="auto"/>
            <w:left w:val="none" w:sz="0" w:space="0" w:color="auto"/>
            <w:bottom w:val="none" w:sz="0" w:space="0" w:color="auto"/>
            <w:right w:val="none" w:sz="0" w:space="0" w:color="auto"/>
          </w:divBdr>
        </w:div>
        <w:div w:id="1622372814">
          <w:marLeft w:val="0"/>
          <w:marRight w:val="0"/>
          <w:marTop w:val="0"/>
          <w:marBottom w:val="0"/>
          <w:divBdr>
            <w:top w:val="none" w:sz="0" w:space="0" w:color="auto"/>
            <w:left w:val="none" w:sz="0" w:space="0" w:color="auto"/>
            <w:bottom w:val="none" w:sz="0" w:space="0" w:color="auto"/>
            <w:right w:val="none" w:sz="0" w:space="0" w:color="auto"/>
          </w:divBdr>
        </w:div>
        <w:div w:id="659892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4038</Words>
  <Characters>22209</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COMPUTER</dc:creator>
  <cp:keywords/>
  <dc:description/>
  <cp:lastModifiedBy>Mory  Dounoh</cp:lastModifiedBy>
  <cp:revision>3</cp:revision>
  <dcterms:created xsi:type="dcterms:W3CDTF">2024-01-12T08:20:00Z</dcterms:created>
  <dcterms:modified xsi:type="dcterms:W3CDTF">2024-01-12T08:20:00Z</dcterms:modified>
</cp:coreProperties>
</file>