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89A1" w14:textId="77777777" w:rsidR="00E62B95" w:rsidRDefault="00C30EA2" w:rsidP="00DF1E0F">
      <w:pPr>
        <w:spacing w:line="276" w:lineRule="auto"/>
        <w:jc w:val="center"/>
        <w:rPr>
          <w:rFonts w:ascii="Times New Roman" w:eastAsia="Times New Roman" w:hAnsi="Times New Roman"/>
          <w:b/>
          <w:color w:val="000000"/>
          <w:sz w:val="32"/>
          <w:szCs w:val="32"/>
        </w:rPr>
      </w:pPr>
      <w:r>
        <w:rPr>
          <w:rFonts w:ascii="Times New Roman" w:eastAsia="Times New Roman" w:hAnsi="Times New Roman"/>
          <w:b/>
          <w:color w:val="000000"/>
          <w:sz w:val="32"/>
          <w:szCs w:val="32"/>
        </w:rPr>
        <w:t>République de Guinée</w:t>
      </w:r>
    </w:p>
    <w:p w14:paraId="4927973E" w14:textId="77777777" w:rsidR="00E62B95" w:rsidRDefault="00C30EA2" w:rsidP="00DF1E0F">
      <w:pPr>
        <w:spacing w:line="276" w:lineRule="auto"/>
        <w:jc w:val="center"/>
        <w:rPr>
          <w:rFonts w:ascii="Times New Roman" w:eastAsia="Times New Roman" w:hAnsi="Times New Roman"/>
          <w:color w:val="000000"/>
        </w:rPr>
      </w:pPr>
      <w:r>
        <w:rPr>
          <w:rFonts w:ascii="Times New Roman" w:eastAsia="Times New Roman" w:hAnsi="Times New Roman"/>
          <w:color w:val="000000"/>
        </w:rPr>
        <w:t>Travail- Justice- Solidarité</w:t>
      </w:r>
    </w:p>
    <w:p w14:paraId="0EE1F061" w14:textId="77777777" w:rsidR="00E62B95" w:rsidRDefault="00C30EA2" w:rsidP="00DF1E0F">
      <w:pPr>
        <w:spacing w:line="276" w:lineRule="auto"/>
        <w:jc w:val="both"/>
        <w:rPr>
          <w:rFonts w:ascii="Times New Roman" w:eastAsia="Times New Roman" w:hAnsi="Times New Roman"/>
          <w:color w:val="000000"/>
          <w:sz w:val="12"/>
          <w:szCs w:val="12"/>
        </w:rPr>
      </w:pPr>
      <w:r>
        <w:rPr>
          <w:noProof/>
        </w:rPr>
        <w:drawing>
          <wp:anchor distT="0" distB="0" distL="0" distR="0" simplePos="0" relativeHeight="3" behindDoc="0" locked="0" layoutInCell="1" allowOverlap="1" wp14:anchorId="18DB9F49" wp14:editId="3C7A62A6">
            <wp:simplePos x="0" y="0"/>
            <wp:positionH relativeFrom="margin">
              <wp:align>center</wp:align>
            </wp:positionH>
            <wp:positionV relativeFrom="paragraph">
              <wp:posOffset>201295</wp:posOffset>
            </wp:positionV>
            <wp:extent cx="1543050" cy="1276350"/>
            <wp:effectExtent l="0" t="0" r="0" b="0"/>
            <wp:wrapNone/>
            <wp:docPr id="1" name="Image 1" descr="https://upload.wikimedia.org/wikipedia/commons/6/69/Logo_du_C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https://upload.wikimedia.org/wikipedia/commons/6/69/Logo_du_CNT.jpg"/>
                    <pic:cNvPicPr>
                      <a:picLocks noChangeAspect="1" noChangeArrowheads="1"/>
                    </pic:cNvPicPr>
                  </pic:nvPicPr>
                  <pic:blipFill>
                    <a:blip r:embed="rId10"/>
                    <a:stretch>
                      <a:fillRect/>
                    </a:stretch>
                  </pic:blipFill>
                  <pic:spPr bwMode="auto">
                    <a:xfrm>
                      <a:off x="0" y="0"/>
                      <a:ext cx="1543050" cy="1276350"/>
                    </a:xfrm>
                    <a:prstGeom prst="rect">
                      <a:avLst/>
                    </a:prstGeom>
                  </pic:spPr>
                </pic:pic>
              </a:graphicData>
            </a:graphic>
          </wp:anchor>
        </w:drawing>
      </w:r>
      <w:r>
        <w:rPr>
          <w:rFonts w:ascii="Times New Roman" w:eastAsia="Times New Roman" w:hAnsi="Times New Roman"/>
          <w:color w:val="000000"/>
          <w:sz w:val="28"/>
        </w:rPr>
        <w:tab/>
      </w:r>
    </w:p>
    <w:p w14:paraId="0CCF7E53" w14:textId="77777777" w:rsidR="00E62B95" w:rsidRDefault="00E62B95" w:rsidP="00DF1E0F">
      <w:pPr>
        <w:spacing w:line="276" w:lineRule="auto"/>
        <w:jc w:val="both"/>
        <w:rPr>
          <w:rFonts w:ascii="Times New Roman" w:eastAsia="Times New Roman" w:hAnsi="Times New Roman"/>
          <w:b/>
          <w:color w:val="000000"/>
          <w:sz w:val="28"/>
        </w:rPr>
      </w:pPr>
    </w:p>
    <w:p w14:paraId="0F2DFBC4" w14:textId="77777777" w:rsidR="00E62B95" w:rsidRDefault="00E62B95" w:rsidP="00DF1E0F">
      <w:pPr>
        <w:spacing w:line="276" w:lineRule="auto"/>
        <w:jc w:val="both"/>
        <w:rPr>
          <w:rFonts w:ascii="Times New Roman" w:eastAsia="Times New Roman" w:hAnsi="Times New Roman"/>
          <w:b/>
          <w:color w:val="000000"/>
          <w:sz w:val="28"/>
        </w:rPr>
      </w:pPr>
    </w:p>
    <w:p w14:paraId="722037DC" w14:textId="77777777" w:rsidR="00E62B95" w:rsidRDefault="00E62B95" w:rsidP="00DF1E0F">
      <w:pPr>
        <w:spacing w:line="276" w:lineRule="auto"/>
        <w:jc w:val="both"/>
        <w:rPr>
          <w:rFonts w:ascii="Times New Roman" w:eastAsia="Times New Roman" w:hAnsi="Times New Roman"/>
          <w:b/>
          <w:color w:val="000000"/>
          <w:sz w:val="28"/>
        </w:rPr>
      </w:pPr>
    </w:p>
    <w:p w14:paraId="590BF2D3" w14:textId="77777777" w:rsidR="00E62B95" w:rsidRDefault="00E62B95" w:rsidP="00DF1E0F">
      <w:pPr>
        <w:spacing w:line="276" w:lineRule="auto"/>
        <w:jc w:val="both"/>
        <w:rPr>
          <w:rFonts w:ascii="Times New Roman" w:eastAsia="Times New Roman" w:hAnsi="Times New Roman"/>
          <w:b/>
          <w:color w:val="000000"/>
          <w:sz w:val="28"/>
        </w:rPr>
      </w:pPr>
    </w:p>
    <w:p w14:paraId="3A6F64E4" w14:textId="77777777" w:rsidR="00E62B95" w:rsidRDefault="00E62B95" w:rsidP="00DF1E0F">
      <w:pPr>
        <w:spacing w:line="276" w:lineRule="auto"/>
        <w:jc w:val="both"/>
        <w:rPr>
          <w:rFonts w:ascii="Times New Roman" w:eastAsia="Times New Roman" w:hAnsi="Times New Roman"/>
          <w:b/>
          <w:color w:val="000000"/>
          <w:sz w:val="28"/>
        </w:rPr>
      </w:pPr>
    </w:p>
    <w:p w14:paraId="5E7E494E" w14:textId="77777777" w:rsidR="00E62B95" w:rsidRDefault="00C30EA2" w:rsidP="00DF1E0F">
      <w:pPr>
        <w:spacing w:line="276" w:lineRule="auto"/>
        <w:jc w:val="both"/>
        <w:rPr>
          <w:rFonts w:ascii="Times New Roman" w:eastAsia="Times New Roman" w:hAnsi="Times New Roman"/>
          <w:b/>
          <w:color w:val="000000"/>
          <w:sz w:val="44"/>
        </w:rPr>
      </w:pPr>
      <w:r>
        <w:rPr>
          <w:rFonts w:ascii="Times New Roman" w:eastAsia="Times New Roman" w:hAnsi="Times New Roman"/>
          <w:b/>
          <w:color w:val="000000"/>
          <w:sz w:val="44"/>
        </w:rPr>
        <w:t>CONSEIL NATIONAL DE LA TRANSITION</w:t>
      </w:r>
    </w:p>
    <w:p w14:paraId="2DCF244E" w14:textId="77777777" w:rsidR="00E62B95" w:rsidRDefault="00C30EA2" w:rsidP="00DF1E0F">
      <w:pPr>
        <w:tabs>
          <w:tab w:val="left" w:pos="3495"/>
        </w:tabs>
        <w:spacing w:line="276" w:lineRule="auto"/>
        <w:jc w:val="both"/>
        <w:rPr>
          <w:b/>
          <w:i/>
          <w:color w:val="000000"/>
        </w:rPr>
      </w:pPr>
      <w:r>
        <w:rPr>
          <w:noProof/>
        </w:rPr>
        <mc:AlternateContent>
          <mc:Choice Requires="wps">
            <w:drawing>
              <wp:anchor distT="0" distB="0" distL="0" distR="0" simplePos="0" relativeHeight="2" behindDoc="0" locked="0" layoutInCell="1" allowOverlap="1" wp14:anchorId="3E275DCF" wp14:editId="0746B06F">
                <wp:simplePos x="0" y="0"/>
                <wp:positionH relativeFrom="column">
                  <wp:posOffset>2605405</wp:posOffset>
                </wp:positionH>
                <wp:positionV relativeFrom="paragraph">
                  <wp:posOffset>62865</wp:posOffset>
                </wp:positionV>
                <wp:extent cx="934720" cy="1905"/>
                <wp:effectExtent l="0" t="0" r="19050" b="37465"/>
                <wp:wrapNone/>
                <wp:docPr id="2" name="Connecteur droit 2"/>
                <wp:cNvGraphicFramePr/>
                <a:graphic xmlns:a="http://schemas.openxmlformats.org/drawingml/2006/main">
                  <a:graphicData uri="http://schemas.microsoft.com/office/word/2010/wordprocessingShape">
                    <wps:wsp>
                      <wps:cNvCnPr/>
                      <wps:spPr>
                        <a:xfrm>
                          <a:off x="0" y="0"/>
                          <a:ext cx="934200" cy="720"/>
                        </a:xfrm>
                        <a:prstGeom prst="line">
                          <a:avLst/>
                        </a:prstGeom>
                        <a:ln w="9360">
                          <a:solidFill>
                            <a:srgbClr val="4A7EBB"/>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05.15pt,4.95pt" to="278.65pt,4.95pt" ID="Connecteur droit 2" stroked="t" style="position:absolute" wp14:anchorId="77C8992D">
                <v:stroke color="#4a7ebb" weight="9360" joinstyle="round" endcap="flat"/>
                <v:fill o:detectmouseclick="t" on="false"/>
              </v:line>
            </w:pict>
          </mc:Fallback>
        </mc:AlternateContent>
      </w:r>
      <w:r>
        <w:rPr>
          <w:b/>
          <w:i/>
          <w:color w:val="000000"/>
        </w:rPr>
        <w:tab/>
      </w:r>
    </w:p>
    <w:p w14:paraId="7EB09E8C" w14:textId="7E30E0D5" w:rsidR="00E62B95" w:rsidRDefault="00C30EA2" w:rsidP="00DF1E0F">
      <w:pPr>
        <w:tabs>
          <w:tab w:val="left" w:pos="3495"/>
        </w:tabs>
        <w:spacing w:line="276" w:lineRule="auto"/>
        <w:jc w:val="center"/>
      </w:pPr>
      <w:r>
        <w:rPr>
          <w:rFonts w:ascii="Wide Latin" w:hAnsi="Wide Latin"/>
          <w:b/>
          <w:i/>
          <w:color w:val="000000"/>
          <w:sz w:val="32"/>
        </w:rPr>
        <w:t xml:space="preserve">N° </w:t>
      </w:r>
      <w:r w:rsidR="00AB4419">
        <w:rPr>
          <w:rFonts w:ascii="Wide Latin" w:hAnsi="Wide Latin"/>
          <w:b/>
          <w:i/>
          <w:color w:val="000000"/>
          <w:sz w:val="32"/>
        </w:rPr>
        <w:t>063</w:t>
      </w:r>
    </w:p>
    <w:p w14:paraId="58BF555F" w14:textId="37CE0730" w:rsidR="00E62B95" w:rsidRDefault="00C30EA2" w:rsidP="00DF1E0F">
      <w:pPr>
        <w:spacing w:line="276" w:lineRule="auto"/>
        <w:ind w:right="-360"/>
        <w:jc w:val="center"/>
      </w:pPr>
      <w:r>
        <w:rPr>
          <w:rFonts w:ascii="Bookman Old Style" w:hAnsi="Bookman Old Style"/>
          <w:color w:val="000000"/>
          <w:szCs w:val="28"/>
        </w:rPr>
        <w:t xml:space="preserve">Enregistré au Secrétariat Central du CNT le </w:t>
      </w:r>
      <w:r w:rsidR="00AB4419">
        <w:rPr>
          <w:rFonts w:ascii="Bookman Old Style" w:hAnsi="Bookman Old Style"/>
          <w:color w:val="000000"/>
          <w:szCs w:val="28"/>
        </w:rPr>
        <w:t xml:space="preserve">27 avril </w:t>
      </w:r>
      <w:r>
        <w:rPr>
          <w:rFonts w:ascii="Bookman Old Style" w:hAnsi="Bookman Old Style"/>
          <w:color w:val="000000"/>
          <w:szCs w:val="28"/>
        </w:rPr>
        <w:t>2023 sous le N°0</w:t>
      </w:r>
      <w:r w:rsidR="00AB4419">
        <w:rPr>
          <w:rFonts w:ascii="Bookman Old Style" w:hAnsi="Bookman Old Style"/>
          <w:color w:val="000000"/>
          <w:szCs w:val="28"/>
        </w:rPr>
        <w:t>602</w:t>
      </w:r>
    </w:p>
    <w:p w14:paraId="3F3B08BC" w14:textId="77777777" w:rsidR="00E62B95" w:rsidRDefault="00C30EA2" w:rsidP="00DF1E0F">
      <w:pPr>
        <w:spacing w:line="276" w:lineRule="auto"/>
        <w:ind w:right="-360"/>
        <w:jc w:val="center"/>
      </w:pPr>
      <w:r>
        <w:rPr>
          <w:noProof/>
        </w:rPr>
        <mc:AlternateContent>
          <mc:Choice Requires="wps">
            <w:drawing>
              <wp:anchor distT="0" distB="0" distL="91440" distR="91440" simplePos="0" relativeHeight="4" behindDoc="0" locked="0" layoutInCell="1" allowOverlap="1" wp14:anchorId="3DEB4AD2" wp14:editId="06A2327C">
                <wp:simplePos x="0" y="0"/>
                <wp:positionH relativeFrom="margin">
                  <wp:align>center</wp:align>
                </wp:positionH>
                <wp:positionV relativeFrom="paragraph">
                  <wp:posOffset>334645</wp:posOffset>
                </wp:positionV>
                <wp:extent cx="5534660" cy="607695"/>
                <wp:effectExtent l="0" t="0" r="0" b="0"/>
                <wp:wrapNone/>
                <wp:docPr id="3" name="Frame1"/>
                <wp:cNvGraphicFramePr/>
                <a:graphic xmlns:a="http://schemas.openxmlformats.org/drawingml/2006/main">
                  <a:graphicData uri="http://schemas.microsoft.com/office/word/2010/wordprocessingShape">
                    <wps:wsp>
                      <wps:cNvSpPr txBox="1"/>
                      <wps:spPr>
                        <a:xfrm>
                          <a:off x="0" y="0"/>
                          <a:ext cx="5534660" cy="607695"/>
                        </a:xfrm>
                        <a:prstGeom prst="rect">
                          <a:avLst/>
                        </a:prstGeom>
                      </wps:spPr>
                      <wps:txbx>
                        <w:txbxContent>
                          <w:p w14:paraId="75245CFA" w14:textId="77777777" w:rsidR="00E62B95" w:rsidRDefault="00C30EA2">
                            <w:pPr>
                              <w:pStyle w:val="Citationintense"/>
                              <w:spacing w:before="0" w:after="0"/>
                              <w:rPr>
                                <w:b/>
                                <w:bCs/>
                                <w:color w:val="auto"/>
                              </w:rPr>
                            </w:pPr>
                            <w:r>
                              <w:rPr>
                                <w:b/>
                                <w:bCs/>
                                <w:color w:val="auto"/>
                                <w:sz w:val="44"/>
                              </w:rPr>
                              <w:t>SESSION 2024</w:t>
                            </w:r>
                          </w:p>
                        </w:txbxContent>
                      </wps:txbx>
                      <wps:bodyPr lIns="0" tIns="0" rIns="0" bIns="0" anchor="t">
                        <a:spAutoFit/>
                      </wps:bodyPr>
                    </wps:wsp>
                  </a:graphicData>
                </a:graphic>
              </wp:anchor>
            </w:drawing>
          </mc:Choice>
          <mc:Fallback>
            <w:pict>
              <v:shapetype w14:anchorId="3DEB4AD2" id="_x0000_t202" coordsize="21600,21600" o:spt="202" path="m,l,21600r21600,l21600,xe">
                <v:stroke joinstyle="miter"/>
                <v:path gradientshapeok="t" o:connecttype="rect"/>
              </v:shapetype>
              <v:shape id="Frame1" o:spid="_x0000_s1026" type="#_x0000_t202" style="position:absolute;left:0;text-align:left;margin-left:0;margin-top:26.35pt;width:435.8pt;height:47.85pt;z-index:4;visibility:visible;mso-wrap-style:square;mso-wrap-distance-left:7.2pt;mso-wrap-distance-top:0;mso-wrap-distance-right:7.2pt;mso-wrap-distance-bottom:0;mso-position-horizontal:center;mso-position-horizontal-relative:margin;mso-position-vertical:absolute;mso-position-vertical-relative:text;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" filled="f" stroked="f">
                <v:textbox style="mso-fit-shape-to-text:t" inset="0,0,0,0">
                  <w:txbxContent>
                    <w:p w14:paraId="75245CFA" w14:textId="77777777" w:rsidR="00E62B95" w:rsidRDefault="00C30EA2">
                      <w:pPr>
                        <w:pStyle w:val="Citationintense"/>
                        <w:spacing w:before="0" w:after="0"/>
                        <w:rPr>
                          <w:b/>
                          <w:bCs/>
                          <w:color w:val="auto"/>
                        </w:rPr>
                      </w:pPr>
                      <w:r>
                        <w:rPr>
                          <w:b/>
                          <w:bCs/>
                          <w:color w:val="auto"/>
                          <w:sz w:val="44"/>
                        </w:rPr>
                        <w:t>SESSION 2024</w:t>
                      </w:r>
                    </w:p>
                  </w:txbxContent>
                </v:textbox>
                <w10:wrap anchorx="margin"/>
              </v:shape>
            </w:pict>
          </mc:Fallback>
        </mc:AlternateContent>
      </w:r>
    </w:p>
    <w:p w14:paraId="56CAEB5D" w14:textId="77777777" w:rsidR="00E62B95" w:rsidRDefault="00E62B95" w:rsidP="00DF1E0F">
      <w:pPr>
        <w:spacing w:line="276" w:lineRule="auto"/>
        <w:ind w:right="-360"/>
        <w:jc w:val="center"/>
      </w:pPr>
    </w:p>
    <w:p w14:paraId="41B42B2C" w14:textId="77777777" w:rsidR="00E62B95" w:rsidRDefault="00E62B95" w:rsidP="00DF1E0F">
      <w:pPr>
        <w:spacing w:line="276" w:lineRule="auto"/>
        <w:ind w:right="-360"/>
        <w:jc w:val="center"/>
      </w:pPr>
    </w:p>
    <w:p w14:paraId="37E90F67" w14:textId="77777777" w:rsidR="00E62B95" w:rsidRDefault="00E62B95" w:rsidP="00DF1E0F">
      <w:pPr>
        <w:spacing w:line="276" w:lineRule="auto"/>
        <w:ind w:right="-360"/>
        <w:jc w:val="center"/>
      </w:pPr>
    </w:p>
    <w:p w14:paraId="0300A2C9" w14:textId="77777777" w:rsidR="00E62B95" w:rsidRDefault="00C30EA2" w:rsidP="00DF1E0F">
      <w:pPr>
        <w:spacing w:line="276" w:lineRule="auto"/>
        <w:ind w:right="-360"/>
        <w:jc w:val="center"/>
      </w:pPr>
      <w:r>
        <w:rPr>
          <w:rFonts w:ascii="Bookman Old Style" w:hAnsi="Bookman Old Style"/>
          <w:b/>
          <w:color w:val="000000"/>
          <w:sz w:val="44"/>
          <w:szCs w:val="28"/>
        </w:rPr>
        <w:t>RAPPORT</w:t>
      </w:r>
    </w:p>
    <w:p w14:paraId="4A71AD9E" w14:textId="77777777" w:rsidR="00E62B95" w:rsidRDefault="00C30EA2" w:rsidP="00DF1E0F">
      <w:pPr>
        <w:spacing w:line="276" w:lineRule="auto"/>
        <w:contextualSpacing/>
        <w:jc w:val="center"/>
      </w:pPr>
      <w:r>
        <w:rPr>
          <w:rFonts w:ascii="Bookman Old Style" w:hAnsi="Bookman Old Style"/>
          <w:b/>
          <w:color w:val="000000"/>
          <w:sz w:val="28"/>
          <w:szCs w:val="28"/>
        </w:rPr>
        <w:t>Fait</w:t>
      </w:r>
    </w:p>
    <w:p w14:paraId="061E73E0" w14:textId="77777777" w:rsidR="00E62B95" w:rsidRDefault="00E62B95" w:rsidP="00DF1E0F">
      <w:pPr>
        <w:spacing w:line="276" w:lineRule="auto"/>
        <w:contextualSpacing/>
        <w:jc w:val="center"/>
        <w:rPr>
          <w:rFonts w:ascii="Times New Roman" w:hAnsi="Times New Roman"/>
          <w:b/>
          <w:color w:val="000000"/>
          <w:sz w:val="28"/>
        </w:rPr>
      </w:pPr>
    </w:p>
    <w:p w14:paraId="6EC0FD6B" w14:textId="727D8E91" w:rsidR="00E62B95" w:rsidRDefault="00C30EA2" w:rsidP="00A518F7">
      <w:pPr>
        <w:spacing w:line="276" w:lineRule="auto"/>
        <w:jc w:val="center"/>
        <w:rPr>
          <w:rFonts w:ascii="Times New Roman" w:hAnsi="Times New Roman"/>
          <w:color w:val="000000"/>
          <w:sz w:val="28"/>
          <w:szCs w:val="28"/>
        </w:rPr>
      </w:pPr>
      <w:r>
        <w:rPr>
          <w:rFonts w:ascii="Cambria" w:hAnsi="Cambria"/>
          <w:b/>
          <w:color w:val="000000"/>
          <w:sz w:val="28"/>
        </w:rPr>
        <w:t xml:space="preserve">Par la Commission des Affaires Economiques et du Développement Durable portant sur la Convention d’établissement relative au développement de projet de gaz naturel liquéfié (GNL) et d’unité de production d’énergie électrique d’une capacité globale de 1 800 MW entre la République de Guinée, West </w:t>
      </w:r>
      <w:proofErr w:type="spellStart"/>
      <w:r>
        <w:rPr>
          <w:rFonts w:ascii="Cambria" w:hAnsi="Cambria"/>
          <w:b/>
          <w:color w:val="000000"/>
          <w:sz w:val="28"/>
        </w:rPr>
        <w:t>Africa</w:t>
      </w:r>
      <w:proofErr w:type="spellEnd"/>
      <w:r>
        <w:rPr>
          <w:rFonts w:ascii="Cambria" w:hAnsi="Cambria"/>
          <w:b/>
          <w:color w:val="000000"/>
          <w:sz w:val="28"/>
        </w:rPr>
        <w:t xml:space="preserve"> Group LNG INC et Hélios énergie infrastructure SCS</w:t>
      </w:r>
    </w:p>
    <w:p w14:paraId="7CC6D659" w14:textId="77777777" w:rsidR="00E62B95" w:rsidRDefault="00C30EA2" w:rsidP="00DF1E0F">
      <w:pPr>
        <w:spacing w:line="276" w:lineRule="auto"/>
        <w:contextualSpacing/>
        <w:jc w:val="center"/>
        <w:rPr>
          <w:rFonts w:ascii="Times New Roman" w:hAnsi="Times New Roman"/>
          <w:color w:val="000000"/>
          <w:sz w:val="28"/>
          <w:szCs w:val="28"/>
        </w:rPr>
      </w:pPr>
      <w:r>
        <w:rPr>
          <w:rFonts w:ascii="Times New Roman" w:hAnsi="Times New Roman"/>
          <w:color w:val="000000"/>
          <w:sz w:val="28"/>
          <w:szCs w:val="28"/>
        </w:rPr>
        <w:t xml:space="preserve">Présenté par la </w:t>
      </w:r>
      <w:proofErr w:type="spellStart"/>
      <w:r>
        <w:rPr>
          <w:rFonts w:ascii="Times New Roman" w:hAnsi="Times New Roman"/>
          <w:color w:val="000000"/>
          <w:sz w:val="28"/>
          <w:szCs w:val="28"/>
        </w:rPr>
        <w:t>Rapporteure</w:t>
      </w:r>
      <w:proofErr w:type="spellEnd"/>
      <w:r>
        <w:rPr>
          <w:rFonts w:ascii="Times New Roman" w:hAnsi="Times New Roman"/>
          <w:color w:val="000000"/>
          <w:sz w:val="28"/>
          <w:szCs w:val="28"/>
        </w:rPr>
        <w:t xml:space="preserve"> :  </w:t>
      </w:r>
      <w:r>
        <w:rPr>
          <w:rFonts w:ascii="Times New Roman" w:hAnsi="Times New Roman"/>
          <w:b/>
          <w:color w:val="000000"/>
          <w:sz w:val="28"/>
          <w:szCs w:val="28"/>
        </w:rPr>
        <w:t>Hon. Saran Traoré</w:t>
      </w:r>
    </w:p>
    <w:p w14:paraId="731A047F" w14:textId="77777777" w:rsidR="00E62B95" w:rsidRDefault="00C30EA2" w:rsidP="00DF1E0F">
      <w:pPr>
        <w:spacing w:line="276" w:lineRule="auto"/>
        <w:contextualSpacing/>
        <w:jc w:val="center"/>
        <w:rPr>
          <w:rFonts w:ascii="Times New Roman" w:hAnsi="Times New Roman"/>
          <w:color w:val="000000"/>
          <w:sz w:val="28"/>
          <w:szCs w:val="28"/>
        </w:rPr>
      </w:pPr>
      <w:r>
        <w:rPr>
          <w:rFonts w:ascii="Times New Roman" w:hAnsi="Times New Roman"/>
          <w:color w:val="000000"/>
          <w:sz w:val="28"/>
          <w:szCs w:val="28"/>
        </w:rPr>
        <w:t xml:space="preserve">Président de la Commission : </w:t>
      </w:r>
      <w:r>
        <w:rPr>
          <w:rFonts w:ascii="Times New Roman" w:hAnsi="Times New Roman"/>
          <w:b/>
          <w:color w:val="000000"/>
          <w:sz w:val="28"/>
          <w:szCs w:val="28"/>
        </w:rPr>
        <w:t>Hon.</w:t>
      </w:r>
      <w:r>
        <w:rPr>
          <w:rFonts w:ascii="Times New Roman" w:hAnsi="Times New Roman"/>
          <w:color w:val="000000"/>
          <w:sz w:val="28"/>
          <w:szCs w:val="28"/>
        </w:rPr>
        <w:t xml:space="preserve"> </w:t>
      </w:r>
      <w:r>
        <w:rPr>
          <w:rFonts w:ascii="Times New Roman" w:hAnsi="Times New Roman"/>
          <w:b/>
          <w:color w:val="000000"/>
          <w:sz w:val="28"/>
          <w:szCs w:val="28"/>
        </w:rPr>
        <w:t>Dr Alpha Abdoulaye Diallo</w:t>
      </w:r>
    </w:p>
    <w:p w14:paraId="25CFE520" w14:textId="77777777" w:rsidR="00A518F7" w:rsidRDefault="00C30EA2" w:rsidP="00A518F7">
      <w:pPr>
        <w:tabs>
          <w:tab w:val="center" w:pos="5615"/>
        </w:tabs>
        <w:spacing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p>
    <w:p w14:paraId="46D52CC9" w14:textId="0A3A98A5" w:rsidR="00E62B95" w:rsidRPr="00A518F7" w:rsidRDefault="00EC513F" w:rsidP="00A518F7">
      <w:pPr>
        <w:tabs>
          <w:tab w:val="center" w:pos="5615"/>
        </w:tabs>
        <w:spacing w:line="276"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Avril 2024</w:t>
      </w:r>
    </w:p>
    <w:p w14:paraId="7E06BC81" w14:textId="77777777" w:rsidR="00550FB3" w:rsidRDefault="00550FB3" w:rsidP="00557498">
      <w:pPr>
        <w:tabs>
          <w:tab w:val="center" w:pos="5615"/>
        </w:tabs>
        <w:spacing w:line="360" w:lineRule="auto"/>
        <w:jc w:val="both"/>
        <w:rPr>
          <w:rFonts w:ascii="Times New Roman" w:eastAsia="Calibri" w:hAnsi="Times New Roman" w:cs="Times New Roman"/>
          <w:b/>
          <w:sz w:val="28"/>
          <w:szCs w:val="28"/>
        </w:rPr>
      </w:pPr>
    </w:p>
    <w:p w14:paraId="7B23E8A4" w14:textId="5D616FB1" w:rsidR="00E62B95" w:rsidRDefault="00C30EA2" w:rsidP="00557498">
      <w:pPr>
        <w:tabs>
          <w:tab w:val="center" w:pos="5615"/>
        </w:tabs>
        <w:spacing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Honorable Président du Conseil National de la Transition (CNT) ;</w:t>
      </w:r>
      <w:r>
        <w:rPr>
          <w:rFonts w:ascii="Times New Roman" w:eastAsia="Calibri" w:hAnsi="Times New Roman" w:cs="Times New Roman"/>
          <w:b/>
          <w:sz w:val="28"/>
          <w:szCs w:val="28"/>
        </w:rPr>
        <w:tab/>
      </w:r>
    </w:p>
    <w:p w14:paraId="2BA0E2AD" w14:textId="77777777" w:rsidR="00E62B95" w:rsidRDefault="00C30EA2" w:rsidP="00557498">
      <w:pPr>
        <w:spacing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Honorables Conseillers nationaux ;</w:t>
      </w:r>
    </w:p>
    <w:p w14:paraId="5624CD81" w14:textId="50CB830A" w:rsidR="00E62B95" w:rsidRDefault="00A52EFD" w:rsidP="00557498">
      <w:pPr>
        <w:spacing w:after="0" w:line="360" w:lineRule="auto"/>
        <w:jc w:val="both"/>
      </w:pPr>
      <w:r>
        <w:rPr>
          <w:rFonts w:ascii="Times New Roman" w:eastAsia="Calibri" w:hAnsi="Times New Roman" w:cs="Times New Roman"/>
          <w:sz w:val="28"/>
          <w:szCs w:val="28"/>
        </w:rPr>
        <w:t>La République de Guinée est confrontée à un véritable problème d’accès à des sources d’énergie abordables, propres, disponibles et à quantités suffisantes</w:t>
      </w:r>
      <w:r w:rsidR="00550FB3">
        <w:rPr>
          <w:rFonts w:ascii="Times New Roman" w:eastAsia="Calibri" w:hAnsi="Times New Roman" w:cs="Times New Roman"/>
          <w:sz w:val="28"/>
          <w:szCs w:val="28"/>
        </w:rPr>
        <w:t>. C</w:t>
      </w:r>
      <w:r>
        <w:rPr>
          <w:rFonts w:ascii="Times New Roman" w:eastAsia="Calibri" w:hAnsi="Times New Roman" w:cs="Times New Roman"/>
          <w:sz w:val="28"/>
          <w:szCs w:val="28"/>
        </w:rPr>
        <w:t xml:space="preserve">e qui a obligé </w:t>
      </w:r>
      <w:r w:rsidR="00550FB3">
        <w:rPr>
          <w:rFonts w:ascii="Times New Roman" w:eastAsia="Calibri" w:hAnsi="Times New Roman" w:cs="Times New Roman"/>
          <w:sz w:val="28"/>
          <w:szCs w:val="28"/>
        </w:rPr>
        <w:t>notre</w:t>
      </w:r>
      <w:r>
        <w:rPr>
          <w:rFonts w:ascii="Times New Roman" w:eastAsia="Calibri" w:hAnsi="Times New Roman" w:cs="Times New Roman"/>
          <w:sz w:val="28"/>
          <w:szCs w:val="28"/>
        </w:rPr>
        <w:t xml:space="preserve"> pays à monnayer ses précieuses ressources naturelles parfois à des prix très bas, avec une faible valeur ajoutée pour l’économie locale. </w:t>
      </w:r>
    </w:p>
    <w:p w14:paraId="5CECB2B7" w14:textId="77777777" w:rsidR="00E62B95" w:rsidRDefault="00E62B95" w:rsidP="00557498">
      <w:pPr>
        <w:spacing w:after="0" w:line="360" w:lineRule="auto"/>
        <w:jc w:val="both"/>
        <w:rPr>
          <w:rFonts w:ascii="Times New Roman" w:eastAsia="Calibri" w:hAnsi="Times New Roman" w:cs="Times New Roman"/>
          <w:sz w:val="28"/>
          <w:szCs w:val="28"/>
        </w:rPr>
      </w:pPr>
    </w:p>
    <w:p w14:paraId="7F91030C" w14:textId="13AA96D3" w:rsidR="00E62B95" w:rsidRPr="006560CD" w:rsidRDefault="00C30EA2" w:rsidP="0055749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C’est pourquoi, dans le cadre de la mise en œuvre de la politique énergétique de la </w:t>
      </w:r>
      <w:r w:rsidR="00AB4419">
        <w:rPr>
          <w:rFonts w:ascii="Times New Roman" w:eastAsia="Calibri" w:hAnsi="Times New Roman" w:cs="Times New Roman"/>
          <w:sz w:val="28"/>
          <w:szCs w:val="28"/>
        </w:rPr>
        <w:t xml:space="preserve">République de </w:t>
      </w:r>
      <w:r>
        <w:rPr>
          <w:rFonts w:ascii="Times New Roman" w:eastAsia="Calibri" w:hAnsi="Times New Roman" w:cs="Times New Roman"/>
          <w:sz w:val="28"/>
          <w:szCs w:val="28"/>
        </w:rPr>
        <w:t xml:space="preserve">Guinée, le </w:t>
      </w:r>
      <w:r w:rsidR="00AB4419">
        <w:rPr>
          <w:rFonts w:ascii="Times New Roman" w:eastAsia="Calibri" w:hAnsi="Times New Roman" w:cs="Times New Roman"/>
          <w:sz w:val="28"/>
          <w:szCs w:val="28"/>
        </w:rPr>
        <w:t>G</w:t>
      </w:r>
      <w:r>
        <w:rPr>
          <w:rFonts w:ascii="Times New Roman" w:eastAsia="Calibri" w:hAnsi="Times New Roman" w:cs="Times New Roman"/>
          <w:sz w:val="28"/>
          <w:szCs w:val="28"/>
        </w:rPr>
        <w:t>ouvernement s’est lancé depuis une décennie dans divers projets de construction de barrages pour améliorer la desserte en électricité en faveur des populations et des acteurs économiques. Au nombre des barrages réalisés figurent</w:t>
      </w:r>
      <w:r w:rsidR="00AB4419">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Kaléta</w:t>
      </w:r>
      <w:proofErr w:type="spellEnd"/>
      <w:r>
        <w:rPr>
          <w:rFonts w:ascii="Times New Roman" w:eastAsia="Calibri" w:hAnsi="Times New Roman" w:cs="Times New Roman"/>
          <w:sz w:val="28"/>
          <w:szCs w:val="28"/>
        </w:rPr>
        <w:t xml:space="preserve"> et </w:t>
      </w:r>
      <w:proofErr w:type="spellStart"/>
      <w:r>
        <w:rPr>
          <w:rFonts w:ascii="Times New Roman" w:eastAsia="Calibri" w:hAnsi="Times New Roman" w:cs="Times New Roman"/>
          <w:sz w:val="28"/>
          <w:szCs w:val="28"/>
        </w:rPr>
        <w:t>Souapiti</w:t>
      </w:r>
      <w:proofErr w:type="spellEnd"/>
      <w:r>
        <w:rPr>
          <w:rFonts w:ascii="Times New Roman" w:eastAsia="Calibri" w:hAnsi="Times New Roman" w:cs="Times New Roman"/>
          <w:sz w:val="28"/>
          <w:szCs w:val="28"/>
        </w:rPr>
        <w:t xml:space="preserve"> dans le bassin du fleuve Konkouré</w:t>
      </w:r>
      <w:r w:rsidR="009A5AC9">
        <w:rPr>
          <w:rFonts w:ascii="Times New Roman" w:eastAsia="Calibri" w:hAnsi="Times New Roman" w:cs="Times New Roman"/>
          <w:sz w:val="28"/>
          <w:szCs w:val="28"/>
        </w:rPr>
        <w:t xml:space="preserve">. </w:t>
      </w:r>
      <w:r>
        <w:rPr>
          <w:rFonts w:ascii="Times New Roman" w:eastAsia="Calibri" w:hAnsi="Times New Roman" w:cs="Times New Roman"/>
          <w:sz w:val="28"/>
          <w:szCs w:val="28"/>
        </w:rPr>
        <w:t>M</w:t>
      </w:r>
      <w:r w:rsidR="009A5AC9">
        <w:rPr>
          <w:rFonts w:ascii="Times New Roman" w:eastAsia="Calibri" w:hAnsi="Times New Roman" w:cs="Times New Roman"/>
          <w:sz w:val="28"/>
          <w:szCs w:val="28"/>
        </w:rPr>
        <w:t>alheureusement</w:t>
      </w:r>
      <w:r w:rsidR="00AB4419">
        <w:rPr>
          <w:rFonts w:ascii="Times New Roman" w:eastAsia="Calibri" w:hAnsi="Times New Roman" w:cs="Times New Roman"/>
          <w:sz w:val="28"/>
          <w:szCs w:val="28"/>
        </w:rPr>
        <w:t>,</w:t>
      </w:r>
      <w:r>
        <w:rPr>
          <w:rFonts w:ascii="Times New Roman" w:eastAsia="Calibri" w:hAnsi="Times New Roman" w:cs="Times New Roman"/>
          <w:sz w:val="28"/>
          <w:szCs w:val="28"/>
        </w:rPr>
        <w:t xml:space="preserve"> la production de ces barrages associée à celle des autres déjà réalisés</w:t>
      </w:r>
      <w:r w:rsidR="009A5AC9">
        <w:rPr>
          <w:rFonts w:ascii="Times New Roman" w:eastAsia="Calibri" w:hAnsi="Times New Roman" w:cs="Times New Roman"/>
          <w:sz w:val="28"/>
          <w:szCs w:val="28"/>
        </w:rPr>
        <w:t xml:space="preserve"> et l’énergie des centrales thermiques dont le fonctionnement nécessite l’utilisation de carburants fortement polluants</w:t>
      </w:r>
      <w:r w:rsidR="00AB4419">
        <w:rPr>
          <w:rFonts w:ascii="Times New Roman" w:eastAsia="Calibri" w:hAnsi="Times New Roman" w:cs="Times New Roman"/>
          <w:sz w:val="28"/>
          <w:szCs w:val="28"/>
        </w:rPr>
        <w:t>,</w:t>
      </w:r>
      <w:r w:rsidR="009A5AC9">
        <w:rPr>
          <w:rFonts w:ascii="Times New Roman" w:eastAsia="Calibri" w:hAnsi="Times New Roman" w:cs="Times New Roman"/>
          <w:sz w:val="28"/>
          <w:szCs w:val="28"/>
        </w:rPr>
        <w:t xml:space="preserve"> à savoir le diesel et le fioul lourd (HFO)</w:t>
      </w:r>
      <w:r w:rsidR="00AB4419">
        <w:rPr>
          <w:rFonts w:ascii="Times New Roman" w:eastAsia="Calibri" w:hAnsi="Times New Roman" w:cs="Times New Roman"/>
          <w:sz w:val="28"/>
          <w:szCs w:val="28"/>
        </w:rPr>
        <w:t xml:space="preserve">, </w:t>
      </w:r>
      <w:r>
        <w:rPr>
          <w:rFonts w:ascii="Times New Roman" w:eastAsia="Calibri" w:hAnsi="Times New Roman" w:cs="Times New Roman"/>
          <w:sz w:val="28"/>
          <w:szCs w:val="28"/>
        </w:rPr>
        <w:t>ne permet</w:t>
      </w:r>
      <w:r w:rsidR="009A5AC9">
        <w:rPr>
          <w:rFonts w:ascii="Times New Roman" w:eastAsia="Calibri" w:hAnsi="Times New Roman" w:cs="Times New Roman"/>
          <w:sz w:val="28"/>
          <w:szCs w:val="28"/>
        </w:rPr>
        <w:t xml:space="preserve">tent </w:t>
      </w:r>
      <w:r w:rsidR="00AB4419">
        <w:rPr>
          <w:rFonts w:ascii="Times New Roman" w:eastAsia="Calibri" w:hAnsi="Times New Roman" w:cs="Times New Roman"/>
          <w:sz w:val="28"/>
          <w:szCs w:val="28"/>
        </w:rPr>
        <w:t>toujours pas à</w:t>
      </w:r>
      <w:r>
        <w:rPr>
          <w:rFonts w:ascii="Times New Roman" w:eastAsia="Calibri" w:hAnsi="Times New Roman" w:cs="Times New Roman"/>
          <w:sz w:val="28"/>
          <w:szCs w:val="28"/>
        </w:rPr>
        <w:t xml:space="preserve"> satisfaire la demande en électricité. </w:t>
      </w:r>
    </w:p>
    <w:p w14:paraId="792EEB20" w14:textId="77777777" w:rsidR="00E62B95" w:rsidRDefault="00E62B95" w:rsidP="00557498">
      <w:pPr>
        <w:spacing w:after="0" w:line="360" w:lineRule="auto"/>
        <w:jc w:val="both"/>
        <w:rPr>
          <w:rFonts w:ascii="Times New Roman" w:eastAsia="Calibri" w:hAnsi="Times New Roman" w:cs="Times New Roman"/>
          <w:sz w:val="28"/>
          <w:szCs w:val="28"/>
        </w:rPr>
      </w:pPr>
    </w:p>
    <w:p w14:paraId="17FF2FED" w14:textId="1268E9E8" w:rsidR="00E62B95" w:rsidRDefault="00C30EA2" w:rsidP="00557498">
      <w:pPr>
        <w:spacing w:after="0" w:line="360" w:lineRule="auto"/>
        <w:jc w:val="both"/>
      </w:pPr>
      <w:r>
        <w:rPr>
          <w:rFonts w:ascii="Times New Roman" w:eastAsia="Calibri" w:hAnsi="Times New Roman" w:cs="Times New Roman"/>
          <w:sz w:val="28"/>
          <w:szCs w:val="28"/>
        </w:rPr>
        <w:t>Force est de reconnaître que malgré les apports actuels, les défis restent encore immenses dans le secteur de l’électricité notamment</w:t>
      </w:r>
      <w:r w:rsidR="00AB4419">
        <w:rPr>
          <w:rFonts w:ascii="Times New Roman" w:eastAsia="Calibri" w:hAnsi="Times New Roman" w:cs="Times New Roman"/>
          <w:sz w:val="28"/>
          <w:szCs w:val="28"/>
        </w:rPr>
        <w:t>,</w:t>
      </w:r>
      <w:r>
        <w:rPr>
          <w:rFonts w:ascii="Times New Roman" w:eastAsia="Calibri" w:hAnsi="Times New Roman" w:cs="Times New Roman"/>
          <w:sz w:val="28"/>
          <w:szCs w:val="28"/>
        </w:rPr>
        <w:t xml:space="preserve"> en termes de besoins en énergie pour les sociétés minières désireuses de construire des raffineries nécessaires à la transformation locale des minerais exploités</w:t>
      </w:r>
      <w:r w:rsidR="006560CD">
        <w:rPr>
          <w:rFonts w:ascii="Times New Roman" w:eastAsia="Calibri" w:hAnsi="Times New Roman" w:cs="Times New Roman"/>
          <w:sz w:val="28"/>
          <w:szCs w:val="28"/>
        </w:rPr>
        <w:t xml:space="preserve"> en République de Guinée</w:t>
      </w:r>
      <w:r>
        <w:rPr>
          <w:rFonts w:ascii="Times New Roman" w:eastAsia="Calibri" w:hAnsi="Times New Roman" w:cs="Times New Roman"/>
          <w:sz w:val="28"/>
          <w:szCs w:val="28"/>
        </w:rPr>
        <w:t xml:space="preserve">. </w:t>
      </w:r>
    </w:p>
    <w:p w14:paraId="33DE4FF8" w14:textId="77777777" w:rsidR="00E62B95" w:rsidRDefault="00E62B95" w:rsidP="00557498">
      <w:pPr>
        <w:spacing w:after="0" w:line="360" w:lineRule="auto"/>
        <w:jc w:val="both"/>
        <w:rPr>
          <w:rFonts w:ascii="Times New Roman" w:eastAsia="Calibri" w:hAnsi="Times New Roman" w:cs="Times New Roman"/>
          <w:sz w:val="28"/>
          <w:szCs w:val="28"/>
        </w:rPr>
      </w:pPr>
    </w:p>
    <w:p w14:paraId="33D5A2FC" w14:textId="283AC19C" w:rsidR="00606770" w:rsidRPr="006560CD" w:rsidRDefault="00C30EA2" w:rsidP="0055749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C’est pourquoi, </w:t>
      </w:r>
      <w:r w:rsidR="00606770">
        <w:rPr>
          <w:rFonts w:ascii="Times New Roman" w:eastAsia="Calibri" w:hAnsi="Times New Roman" w:cs="Times New Roman"/>
          <w:sz w:val="28"/>
          <w:szCs w:val="28"/>
        </w:rPr>
        <w:t>pour combler ce déficit</w:t>
      </w:r>
      <w:r w:rsidR="00AB4419">
        <w:rPr>
          <w:rFonts w:ascii="Times New Roman" w:eastAsia="Calibri" w:hAnsi="Times New Roman" w:cs="Times New Roman"/>
          <w:sz w:val="28"/>
          <w:szCs w:val="28"/>
        </w:rPr>
        <w:t>,</w:t>
      </w:r>
      <w:r w:rsidR="00606770">
        <w:rPr>
          <w:rFonts w:ascii="Times New Roman" w:eastAsia="Calibri" w:hAnsi="Times New Roman" w:cs="Times New Roman"/>
          <w:sz w:val="28"/>
          <w:szCs w:val="28"/>
        </w:rPr>
        <w:t xml:space="preserve"> il est plus qu</w:t>
      </w:r>
      <w:r w:rsidR="00AB4419">
        <w:rPr>
          <w:rFonts w:ascii="Times New Roman" w:eastAsia="Calibri" w:hAnsi="Times New Roman" w:cs="Times New Roman"/>
          <w:sz w:val="28"/>
          <w:szCs w:val="28"/>
        </w:rPr>
        <w:t xml:space="preserve">e </w:t>
      </w:r>
      <w:r>
        <w:rPr>
          <w:rFonts w:ascii="Times New Roman" w:eastAsia="Calibri" w:hAnsi="Times New Roman" w:cs="Times New Roman"/>
          <w:sz w:val="28"/>
          <w:szCs w:val="28"/>
        </w:rPr>
        <w:t>nécess</w:t>
      </w:r>
      <w:r w:rsidR="00AB4419">
        <w:rPr>
          <w:rFonts w:ascii="Times New Roman" w:eastAsia="Calibri" w:hAnsi="Times New Roman" w:cs="Times New Roman"/>
          <w:sz w:val="28"/>
          <w:szCs w:val="28"/>
        </w:rPr>
        <w:t>aire</w:t>
      </w:r>
      <w:r>
        <w:rPr>
          <w:rFonts w:ascii="Times New Roman" w:eastAsia="Calibri" w:hAnsi="Times New Roman" w:cs="Times New Roman"/>
          <w:sz w:val="28"/>
          <w:szCs w:val="28"/>
        </w:rPr>
        <w:t xml:space="preserve"> d</w:t>
      </w:r>
      <w:r w:rsidR="00606770">
        <w:rPr>
          <w:rFonts w:ascii="Times New Roman" w:eastAsia="Calibri" w:hAnsi="Times New Roman" w:cs="Times New Roman"/>
          <w:sz w:val="28"/>
          <w:szCs w:val="28"/>
        </w:rPr>
        <w:t xml:space="preserve">e </w:t>
      </w:r>
      <w:r>
        <w:rPr>
          <w:rFonts w:ascii="Times New Roman" w:eastAsia="Calibri" w:hAnsi="Times New Roman" w:cs="Times New Roman"/>
          <w:sz w:val="28"/>
          <w:szCs w:val="28"/>
        </w:rPr>
        <w:t>diversif</w:t>
      </w:r>
      <w:r w:rsidR="00606770">
        <w:rPr>
          <w:rFonts w:ascii="Times New Roman" w:eastAsia="Calibri" w:hAnsi="Times New Roman" w:cs="Times New Roman"/>
          <w:sz w:val="28"/>
          <w:szCs w:val="28"/>
        </w:rPr>
        <w:t>ier</w:t>
      </w:r>
      <w:r>
        <w:rPr>
          <w:rFonts w:ascii="Times New Roman" w:eastAsia="Calibri" w:hAnsi="Times New Roman" w:cs="Times New Roman"/>
          <w:sz w:val="28"/>
          <w:szCs w:val="28"/>
        </w:rPr>
        <w:t xml:space="preserve"> </w:t>
      </w:r>
      <w:r w:rsidR="00AB4419">
        <w:rPr>
          <w:rFonts w:ascii="Times New Roman" w:eastAsia="Calibri" w:hAnsi="Times New Roman" w:cs="Times New Roman"/>
          <w:sz w:val="28"/>
          <w:szCs w:val="28"/>
        </w:rPr>
        <w:t>l</w:t>
      </w:r>
      <w:r>
        <w:rPr>
          <w:rFonts w:ascii="Times New Roman" w:eastAsia="Calibri" w:hAnsi="Times New Roman" w:cs="Times New Roman"/>
          <w:sz w:val="28"/>
          <w:szCs w:val="28"/>
        </w:rPr>
        <w:t>es sources d’énergie</w:t>
      </w:r>
      <w:r w:rsidR="00606770">
        <w:rPr>
          <w:rFonts w:ascii="Times New Roman" w:eastAsia="Calibri" w:hAnsi="Times New Roman" w:cs="Times New Roman"/>
          <w:sz w:val="28"/>
          <w:szCs w:val="28"/>
        </w:rPr>
        <w:t xml:space="preserve"> qui se</w:t>
      </w:r>
      <w:r>
        <w:rPr>
          <w:rFonts w:ascii="Times New Roman" w:eastAsia="Calibri" w:hAnsi="Times New Roman" w:cs="Times New Roman"/>
          <w:sz w:val="28"/>
          <w:szCs w:val="28"/>
        </w:rPr>
        <w:t xml:space="preserve"> </w:t>
      </w:r>
      <w:r w:rsidR="00606770">
        <w:rPr>
          <w:rFonts w:ascii="Times New Roman" w:eastAsia="Calibri" w:hAnsi="Times New Roman" w:cs="Times New Roman"/>
          <w:sz w:val="28"/>
          <w:szCs w:val="28"/>
        </w:rPr>
        <w:t>révèle</w:t>
      </w:r>
      <w:r w:rsidR="00AB4419">
        <w:rPr>
          <w:rFonts w:ascii="Times New Roman" w:eastAsia="Calibri" w:hAnsi="Times New Roman" w:cs="Times New Roman"/>
          <w:sz w:val="28"/>
          <w:szCs w:val="28"/>
        </w:rPr>
        <w:t>nt</w:t>
      </w:r>
      <w:r>
        <w:rPr>
          <w:rFonts w:ascii="Times New Roman" w:eastAsia="Calibri" w:hAnsi="Times New Roman" w:cs="Times New Roman"/>
          <w:sz w:val="28"/>
          <w:szCs w:val="28"/>
        </w:rPr>
        <w:t xml:space="preserve"> comme une alternative crédible</w:t>
      </w:r>
      <w:r w:rsidR="008B222A">
        <w:rPr>
          <w:rFonts w:ascii="Times New Roman" w:eastAsia="Calibri" w:hAnsi="Times New Roman" w:cs="Times New Roman"/>
          <w:sz w:val="28"/>
          <w:szCs w:val="28"/>
        </w:rPr>
        <w:t xml:space="preserve">.  L’opportunité de </w:t>
      </w:r>
      <w:r>
        <w:rPr>
          <w:rFonts w:ascii="Times New Roman" w:eastAsia="Calibri" w:hAnsi="Times New Roman" w:cs="Times New Roman"/>
          <w:sz w:val="28"/>
          <w:szCs w:val="28"/>
        </w:rPr>
        <w:t xml:space="preserve">la signature de cette convention d’établissement relative au développement de projet de gaz naturel liquéfié (GNL) et d’unité de production </w:t>
      </w:r>
      <w:r>
        <w:rPr>
          <w:rFonts w:ascii="Times New Roman" w:eastAsia="Calibri" w:hAnsi="Times New Roman" w:cs="Times New Roman"/>
          <w:sz w:val="28"/>
          <w:szCs w:val="28"/>
        </w:rPr>
        <w:lastRenderedPageBreak/>
        <w:t>d’énergie électrique d’une capacité globale de 1 800 MW entre la République de Guinée</w:t>
      </w:r>
      <w:r w:rsidR="006560CD">
        <w:rPr>
          <w:rFonts w:ascii="Times New Roman" w:eastAsia="Calibri" w:hAnsi="Times New Roman" w:cs="Times New Roman"/>
          <w:sz w:val="28"/>
          <w:szCs w:val="28"/>
        </w:rPr>
        <w:t xml:space="preserve"> et</w:t>
      </w:r>
      <w:r>
        <w:rPr>
          <w:rFonts w:ascii="Times New Roman" w:eastAsia="Calibri" w:hAnsi="Times New Roman" w:cs="Times New Roman"/>
          <w:sz w:val="28"/>
          <w:szCs w:val="28"/>
        </w:rPr>
        <w:t xml:space="preserve"> West </w:t>
      </w:r>
      <w:proofErr w:type="spellStart"/>
      <w:r>
        <w:rPr>
          <w:rFonts w:ascii="Times New Roman" w:eastAsia="Calibri" w:hAnsi="Times New Roman" w:cs="Times New Roman"/>
          <w:sz w:val="28"/>
          <w:szCs w:val="28"/>
        </w:rPr>
        <w:t>Africa</w:t>
      </w:r>
      <w:proofErr w:type="spellEnd"/>
      <w:r>
        <w:rPr>
          <w:rFonts w:ascii="Times New Roman" w:eastAsia="Calibri" w:hAnsi="Times New Roman" w:cs="Times New Roman"/>
          <w:sz w:val="28"/>
          <w:szCs w:val="28"/>
        </w:rPr>
        <w:t xml:space="preserve"> Group LNG INC et Hélios énergie infrastructure SCS</w:t>
      </w:r>
      <w:r w:rsidR="008B222A">
        <w:rPr>
          <w:rFonts w:ascii="Times New Roman" w:eastAsia="Calibri" w:hAnsi="Times New Roman" w:cs="Times New Roman"/>
          <w:sz w:val="28"/>
          <w:szCs w:val="28"/>
        </w:rPr>
        <w:t>, s’inscrit dans cette dynamique.</w:t>
      </w:r>
      <w:r w:rsidR="00606770">
        <w:rPr>
          <w:rFonts w:ascii="Times New Roman" w:eastAsia="Calibri" w:hAnsi="Times New Roman" w:cs="Times New Roman"/>
          <w:sz w:val="28"/>
          <w:szCs w:val="28"/>
        </w:rPr>
        <w:t xml:space="preserve"> </w:t>
      </w:r>
    </w:p>
    <w:p w14:paraId="32E6696C" w14:textId="77777777" w:rsidR="00E62B95" w:rsidRDefault="00E62B95" w:rsidP="00557498">
      <w:pPr>
        <w:spacing w:after="0" w:line="360" w:lineRule="auto"/>
        <w:jc w:val="both"/>
        <w:rPr>
          <w:rFonts w:ascii="Times New Roman" w:eastAsia="Calibri" w:hAnsi="Times New Roman" w:cs="Times New Roman"/>
          <w:sz w:val="28"/>
          <w:szCs w:val="28"/>
        </w:rPr>
      </w:pPr>
    </w:p>
    <w:p w14:paraId="410365FC" w14:textId="77777777" w:rsidR="00E8699E" w:rsidRDefault="00C30EA2" w:rsidP="0055749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Faisant suite à sa transmission au CNT par le </w:t>
      </w:r>
      <w:r w:rsidR="008B222A">
        <w:rPr>
          <w:rFonts w:ascii="Times New Roman" w:eastAsia="Calibri" w:hAnsi="Times New Roman" w:cs="Times New Roman"/>
          <w:sz w:val="28"/>
          <w:szCs w:val="28"/>
        </w:rPr>
        <w:t>G</w:t>
      </w:r>
      <w:r>
        <w:rPr>
          <w:rFonts w:ascii="Times New Roman" w:eastAsia="Calibri" w:hAnsi="Times New Roman" w:cs="Times New Roman"/>
          <w:sz w:val="28"/>
          <w:szCs w:val="28"/>
        </w:rPr>
        <w:t xml:space="preserve">ouvernement, </w:t>
      </w:r>
      <w:r w:rsidR="00F6482E">
        <w:rPr>
          <w:rFonts w:ascii="Times New Roman" w:eastAsia="Calibri" w:hAnsi="Times New Roman" w:cs="Times New Roman"/>
          <w:sz w:val="28"/>
          <w:szCs w:val="28"/>
        </w:rPr>
        <w:t>le 28 avril 2023</w:t>
      </w:r>
      <w:r w:rsidR="008B222A">
        <w:rPr>
          <w:rFonts w:ascii="Times New Roman" w:eastAsia="Calibri" w:hAnsi="Times New Roman" w:cs="Times New Roman"/>
          <w:sz w:val="28"/>
          <w:szCs w:val="28"/>
        </w:rPr>
        <w:t>,</w:t>
      </w:r>
      <w:r w:rsidR="00F6482E">
        <w:rPr>
          <w:rFonts w:ascii="Times New Roman" w:eastAsia="Calibri" w:hAnsi="Times New Roman" w:cs="Times New Roman"/>
          <w:sz w:val="28"/>
          <w:szCs w:val="28"/>
        </w:rPr>
        <w:t xml:space="preserve"> </w:t>
      </w:r>
      <w:r>
        <w:rPr>
          <w:rFonts w:ascii="Times New Roman" w:eastAsia="Calibri" w:hAnsi="Times New Roman" w:cs="Times New Roman"/>
          <w:sz w:val="28"/>
          <w:szCs w:val="28"/>
        </w:rPr>
        <w:t>la Conférence des présidents a désigné la Commission des Affaires Economiques et du Développement Durable en qualité de commission de fond, et deux commissions d’avis</w:t>
      </w:r>
      <w:r w:rsidR="00E8699E">
        <w:rPr>
          <w:rFonts w:ascii="Times New Roman" w:eastAsia="Calibri" w:hAnsi="Times New Roman" w:cs="Times New Roman"/>
          <w:sz w:val="28"/>
          <w:szCs w:val="28"/>
        </w:rPr>
        <w:t xml:space="preserve"> à savoir :</w:t>
      </w:r>
    </w:p>
    <w:p w14:paraId="1FF9AD56" w14:textId="77777777" w:rsidR="00E8699E" w:rsidRPr="00E8699E" w:rsidRDefault="00C30EA2" w:rsidP="00557498">
      <w:pPr>
        <w:pStyle w:val="Paragraphedeliste"/>
        <w:numPr>
          <w:ilvl w:val="0"/>
          <w:numId w:val="6"/>
        </w:numPr>
        <w:spacing w:after="0" w:line="360" w:lineRule="auto"/>
        <w:jc w:val="both"/>
      </w:pPr>
      <w:proofErr w:type="gramStart"/>
      <w:r w:rsidRPr="00E8699E">
        <w:rPr>
          <w:rFonts w:ascii="Times New Roman" w:eastAsia="Calibri" w:hAnsi="Times New Roman" w:cs="Times New Roman"/>
          <w:sz w:val="28"/>
          <w:szCs w:val="28"/>
        </w:rPr>
        <w:t>la</w:t>
      </w:r>
      <w:proofErr w:type="gramEnd"/>
      <w:r w:rsidRPr="00E8699E">
        <w:rPr>
          <w:rFonts w:ascii="Times New Roman" w:eastAsia="Calibri" w:hAnsi="Times New Roman" w:cs="Times New Roman"/>
          <w:sz w:val="28"/>
          <w:szCs w:val="28"/>
        </w:rPr>
        <w:t xml:space="preserve"> Commission des Affaires Etrangères</w:t>
      </w:r>
      <w:r w:rsidR="008B222A" w:rsidRPr="00E8699E">
        <w:rPr>
          <w:rFonts w:ascii="Times New Roman" w:eastAsia="Calibri" w:hAnsi="Times New Roman" w:cs="Times New Roman"/>
          <w:sz w:val="28"/>
          <w:szCs w:val="28"/>
        </w:rPr>
        <w:t xml:space="preserve">, </w:t>
      </w:r>
      <w:r w:rsidRPr="00E8699E">
        <w:rPr>
          <w:rFonts w:ascii="Times New Roman" w:eastAsia="Calibri" w:hAnsi="Times New Roman" w:cs="Times New Roman"/>
          <w:sz w:val="28"/>
          <w:szCs w:val="28"/>
        </w:rPr>
        <w:t xml:space="preserve">des Guinéens de l’Étranger et </w:t>
      </w:r>
      <w:r w:rsidR="008B222A" w:rsidRPr="00E8699E">
        <w:rPr>
          <w:rFonts w:ascii="Times New Roman" w:eastAsia="Calibri" w:hAnsi="Times New Roman" w:cs="Times New Roman"/>
          <w:sz w:val="28"/>
          <w:szCs w:val="28"/>
        </w:rPr>
        <w:t xml:space="preserve">de la </w:t>
      </w:r>
      <w:r w:rsidRPr="00E8699E">
        <w:rPr>
          <w:rFonts w:ascii="Times New Roman" w:eastAsia="Calibri" w:hAnsi="Times New Roman" w:cs="Times New Roman"/>
          <w:sz w:val="28"/>
          <w:szCs w:val="28"/>
        </w:rPr>
        <w:t xml:space="preserve">Coopération </w:t>
      </w:r>
      <w:r w:rsidR="008B222A" w:rsidRPr="00E8699E">
        <w:rPr>
          <w:rFonts w:ascii="Times New Roman" w:eastAsia="Calibri" w:hAnsi="Times New Roman" w:cs="Times New Roman"/>
          <w:sz w:val="28"/>
          <w:szCs w:val="28"/>
        </w:rPr>
        <w:t>I</w:t>
      </w:r>
      <w:r w:rsidRPr="00E8699E">
        <w:rPr>
          <w:rFonts w:ascii="Times New Roman" w:eastAsia="Calibri" w:hAnsi="Times New Roman" w:cs="Times New Roman"/>
          <w:sz w:val="28"/>
          <w:szCs w:val="28"/>
        </w:rPr>
        <w:t>nternationale</w:t>
      </w:r>
      <w:r w:rsidR="008B222A" w:rsidRPr="00E8699E">
        <w:rPr>
          <w:rFonts w:ascii="Times New Roman" w:eastAsia="Calibri" w:hAnsi="Times New Roman" w:cs="Times New Roman"/>
          <w:sz w:val="28"/>
          <w:szCs w:val="28"/>
        </w:rPr>
        <w:t> ;</w:t>
      </w:r>
      <w:r w:rsidRPr="00E8699E">
        <w:rPr>
          <w:rFonts w:ascii="Times New Roman" w:eastAsia="Calibri" w:hAnsi="Times New Roman" w:cs="Times New Roman"/>
          <w:sz w:val="28"/>
          <w:szCs w:val="28"/>
        </w:rPr>
        <w:t xml:space="preserve"> et </w:t>
      </w:r>
    </w:p>
    <w:p w14:paraId="4C671725" w14:textId="1739D053" w:rsidR="00E62B95" w:rsidRDefault="00C30EA2" w:rsidP="00557498">
      <w:pPr>
        <w:pStyle w:val="Paragraphedeliste"/>
        <w:numPr>
          <w:ilvl w:val="0"/>
          <w:numId w:val="6"/>
        </w:numPr>
        <w:spacing w:after="0" w:line="360" w:lineRule="auto"/>
        <w:jc w:val="both"/>
      </w:pPr>
      <w:proofErr w:type="gramStart"/>
      <w:r w:rsidRPr="00E8699E">
        <w:rPr>
          <w:rFonts w:ascii="Times New Roman" w:eastAsia="Calibri" w:hAnsi="Times New Roman" w:cs="Times New Roman"/>
          <w:sz w:val="28"/>
          <w:szCs w:val="28"/>
        </w:rPr>
        <w:t>la</w:t>
      </w:r>
      <w:proofErr w:type="gramEnd"/>
      <w:r w:rsidRPr="00E8699E">
        <w:rPr>
          <w:rFonts w:ascii="Times New Roman" w:eastAsia="Calibri" w:hAnsi="Times New Roman" w:cs="Times New Roman"/>
          <w:sz w:val="28"/>
          <w:szCs w:val="28"/>
        </w:rPr>
        <w:t xml:space="preserve"> Commission du Plan, des Affaires </w:t>
      </w:r>
      <w:r w:rsidR="008B222A" w:rsidRPr="00E8699E">
        <w:rPr>
          <w:rFonts w:ascii="Times New Roman" w:eastAsia="Calibri" w:hAnsi="Times New Roman" w:cs="Times New Roman"/>
          <w:sz w:val="28"/>
          <w:szCs w:val="28"/>
        </w:rPr>
        <w:t>F</w:t>
      </w:r>
      <w:r w:rsidRPr="00E8699E">
        <w:rPr>
          <w:rFonts w:ascii="Times New Roman" w:eastAsia="Calibri" w:hAnsi="Times New Roman" w:cs="Times New Roman"/>
          <w:sz w:val="28"/>
          <w:szCs w:val="28"/>
        </w:rPr>
        <w:t xml:space="preserve">inancières et du </w:t>
      </w:r>
      <w:r w:rsidR="008B222A" w:rsidRPr="00E8699E">
        <w:rPr>
          <w:rFonts w:ascii="Times New Roman" w:eastAsia="Calibri" w:hAnsi="Times New Roman" w:cs="Times New Roman"/>
          <w:sz w:val="28"/>
          <w:szCs w:val="28"/>
        </w:rPr>
        <w:t>C</w:t>
      </w:r>
      <w:r w:rsidRPr="00E8699E">
        <w:rPr>
          <w:rFonts w:ascii="Times New Roman" w:eastAsia="Calibri" w:hAnsi="Times New Roman" w:cs="Times New Roman"/>
          <w:sz w:val="28"/>
          <w:szCs w:val="28"/>
        </w:rPr>
        <w:t xml:space="preserve">ontrôle </w:t>
      </w:r>
      <w:r w:rsidR="008B222A" w:rsidRPr="00E8699E">
        <w:rPr>
          <w:rFonts w:ascii="Times New Roman" w:eastAsia="Calibri" w:hAnsi="Times New Roman" w:cs="Times New Roman"/>
          <w:sz w:val="28"/>
          <w:szCs w:val="28"/>
        </w:rPr>
        <w:t>B</w:t>
      </w:r>
      <w:r w:rsidRPr="00E8699E">
        <w:rPr>
          <w:rFonts w:ascii="Times New Roman" w:eastAsia="Calibri" w:hAnsi="Times New Roman" w:cs="Times New Roman"/>
          <w:sz w:val="28"/>
          <w:szCs w:val="28"/>
        </w:rPr>
        <w:t>udgétaire.</w:t>
      </w:r>
    </w:p>
    <w:p w14:paraId="29EFC826" w14:textId="77777777" w:rsidR="00E62B95" w:rsidRDefault="00E62B95" w:rsidP="00557498">
      <w:pPr>
        <w:spacing w:after="0" w:line="360" w:lineRule="auto"/>
        <w:jc w:val="both"/>
        <w:rPr>
          <w:rFonts w:ascii="Times New Roman" w:eastAsia="Calibri" w:hAnsi="Times New Roman" w:cs="Times New Roman"/>
          <w:sz w:val="28"/>
          <w:szCs w:val="28"/>
        </w:rPr>
      </w:pPr>
    </w:p>
    <w:p w14:paraId="44482D0B" w14:textId="0BBE87CA" w:rsidR="00563894" w:rsidRDefault="00E8699E" w:rsidP="0055749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Du 02 au 04 mai 2023, les commissions compétentes du CNT se sont réunies en interne pour un examen minutieux de ladite</w:t>
      </w:r>
      <w:r w:rsidR="00C30EA2">
        <w:rPr>
          <w:rFonts w:ascii="Times New Roman" w:eastAsia="Calibri" w:hAnsi="Times New Roman" w:cs="Times New Roman"/>
          <w:sz w:val="28"/>
          <w:szCs w:val="28"/>
        </w:rPr>
        <w:t xml:space="preserve"> convention</w:t>
      </w:r>
      <w:r w:rsidR="00563894">
        <w:rPr>
          <w:rFonts w:ascii="Times New Roman" w:eastAsia="Calibri" w:hAnsi="Times New Roman" w:cs="Times New Roman"/>
          <w:sz w:val="28"/>
          <w:szCs w:val="28"/>
        </w:rPr>
        <w:t>, à travers des contributions de qualité</w:t>
      </w:r>
      <w:r w:rsidR="00606770">
        <w:rPr>
          <w:rFonts w:ascii="Times New Roman" w:eastAsia="Calibri" w:hAnsi="Times New Roman" w:cs="Times New Roman"/>
          <w:sz w:val="28"/>
          <w:szCs w:val="28"/>
        </w:rPr>
        <w:t>.</w:t>
      </w:r>
      <w:r w:rsidR="00C30EA2">
        <w:rPr>
          <w:rFonts w:ascii="Times New Roman" w:eastAsia="Calibri" w:hAnsi="Times New Roman" w:cs="Times New Roman"/>
          <w:sz w:val="28"/>
          <w:szCs w:val="28"/>
        </w:rPr>
        <w:t xml:space="preserve"> </w:t>
      </w:r>
      <w:r>
        <w:rPr>
          <w:rFonts w:ascii="Times New Roman" w:eastAsia="Calibri" w:hAnsi="Times New Roman" w:cs="Times New Roman"/>
          <w:sz w:val="28"/>
          <w:szCs w:val="28"/>
        </w:rPr>
        <w:t>A l’issue des travaux</w:t>
      </w:r>
      <w:r w:rsidR="00563894">
        <w:rPr>
          <w:rFonts w:ascii="Times New Roman" w:eastAsia="Calibri" w:hAnsi="Times New Roman" w:cs="Times New Roman"/>
          <w:sz w:val="28"/>
          <w:szCs w:val="28"/>
        </w:rPr>
        <w:t>,</w:t>
      </w:r>
      <w:r>
        <w:rPr>
          <w:rFonts w:ascii="Times New Roman" w:eastAsia="Calibri" w:hAnsi="Times New Roman" w:cs="Times New Roman"/>
          <w:sz w:val="28"/>
          <w:szCs w:val="28"/>
        </w:rPr>
        <w:t xml:space="preserve"> deux inter commissions ont été organisées le 05 et </w:t>
      </w:r>
      <w:r w:rsidR="00563894">
        <w:rPr>
          <w:rFonts w:ascii="Times New Roman" w:eastAsia="Calibri" w:hAnsi="Times New Roman" w:cs="Times New Roman"/>
          <w:sz w:val="28"/>
          <w:szCs w:val="28"/>
        </w:rPr>
        <w:t xml:space="preserve">le </w:t>
      </w:r>
      <w:r>
        <w:rPr>
          <w:rFonts w:ascii="Times New Roman" w:eastAsia="Calibri" w:hAnsi="Times New Roman" w:cs="Times New Roman"/>
          <w:sz w:val="28"/>
          <w:szCs w:val="28"/>
        </w:rPr>
        <w:t>08 mai 2023</w:t>
      </w:r>
      <w:r w:rsidR="00563894">
        <w:rPr>
          <w:rFonts w:ascii="Times New Roman" w:eastAsia="Calibri" w:hAnsi="Times New Roman" w:cs="Times New Roman"/>
          <w:sz w:val="28"/>
          <w:szCs w:val="28"/>
        </w:rPr>
        <w:t xml:space="preserve">, au cours desquelles des questions pertinentes ont été </w:t>
      </w:r>
      <w:r w:rsidR="00606770">
        <w:rPr>
          <w:rFonts w:ascii="Times New Roman" w:eastAsia="Calibri" w:hAnsi="Times New Roman" w:cs="Times New Roman"/>
          <w:sz w:val="28"/>
          <w:szCs w:val="28"/>
        </w:rPr>
        <w:t>soulevées par les Conseillers nationaux</w:t>
      </w:r>
      <w:r w:rsidR="00563894">
        <w:rPr>
          <w:rFonts w:ascii="Times New Roman" w:eastAsia="Calibri" w:hAnsi="Times New Roman" w:cs="Times New Roman"/>
          <w:sz w:val="28"/>
          <w:szCs w:val="28"/>
        </w:rPr>
        <w:t xml:space="preserve">, relatives aux </w:t>
      </w:r>
      <w:r w:rsidR="00606770" w:rsidRPr="00563894">
        <w:rPr>
          <w:rFonts w:ascii="Times New Roman" w:eastAsia="Calibri" w:hAnsi="Times New Roman" w:cs="Times New Roman"/>
          <w:sz w:val="28"/>
          <w:szCs w:val="28"/>
        </w:rPr>
        <w:t>exonérations et autres avantages trop importants accordés aux investisseurs</w:t>
      </w:r>
    </w:p>
    <w:p w14:paraId="578C71C5" w14:textId="77777777" w:rsidR="00ED545B" w:rsidRDefault="00ED545B" w:rsidP="00557498">
      <w:pPr>
        <w:spacing w:after="0" w:line="360" w:lineRule="auto"/>
        <w:jc w:val="both"/>
        <w:rPr>
          <w:rFonts w:ascii="Times New Roman" w:eastAsia="Calibri" w:hAnsi="Times New Roman" w:cs="Times New Roman"/>
          <w:sz w:val="28"/>
          <w:szCs w:val="28"/>
        </w:rPr>
      </w:pPr>
    </w:p>
    <w:p w14:paraId="2BB92273" w14:textId="0BD9373D" w:rsidR="00E62B95" w:rsidRPr="00606770" w:rsidRDefault="00563894" w:rsidP="0055749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Il convient de</w:t>
      </w:r>
      <w:r w:rsidR="00C30EA2">
        <w:rPr>
          <w:rFonts w:ascii="Times New Roman" w:eastAsia="Calibri" w:hAnsi="Times New Roman" w:cs="Times New Roman"/>
          <w:sz w:val="28"/>
          <w:szCs w:val="28"/>
        </w:rPr>
        <w:t xml:space="preserve"> noter que </w:t>
      </w:r>
      <w:r w:rsidR="00ED545B">
        <w:rPr>
          <w:rFonts w:ascii="Times New Roman" w:eastAsia="Calibri" w:hAnsi="Times New Roman" w:cs="Times New Roman"/>
          <w:sz w:val="28"/>
          <w:szCs w:val="28"/>
        </w:rPr>
        <w:t>c</w:t>
      </w:r>
      <w:r w:rsidR="00C30EA2">
        <w:rPr>
          <w:rFonts w:ascii="Times New Roman" w:eastAsia="Calibri" w:hAnsi="Times New Roman" w:cs="Times New Roman"/>
          <w:sz w:val="28"/>
          <w:szCs w:val="28"/>
        </w:rPr>
        <w:t>es séances d’inter commission</w:t>
      </w:r>
      <w:r w:rsidR="00606770">
        <w:rPr>
          <w:rFonts w:ascii="Times New Roman" w:eastAsia="Calibri" w:hAnsi="Times New Roman" w:cs="Times New Roman"/>
          <w:sz w:val="28"/>
          <w:szCs w:val="28"/>
        </w:rPr>
        <w:t>s</w:t>
      </w:r>
      <w:r w:rsidR="00C30EA2">
        <w:rPr>
          <w:rFonts w:ascii="Times New Roman" w:eastAsia="Calibri" w:hAnsi="Times New Roman" w:cs="Times New Roman"/>
          <w:sz w:val="28"/>
          <w:szCs w:val="28"/>
        </w:rPr>
        <w:t xml:space="preserve"> ont été marquées par la présence du Président du C</w:t>
      </w:r>
      <w:r>
        <w:rPr>
          <w:rFonts w:ascii="Times New Roman" w:eastAsia="Calibri" w:hAnsi="Times New Roman" w:cs="Times New Roman"/>
          <w:sz w:val="28"/>
          <w:szCs w:val="28"/>
        </w:rPr>
        <w:t xml:space="preserve">onseil </w:t>
      </w:r>
      <w:r w:rsidR="00C30EA2">
        <w:rPr>
          <w:rFonts w:ascii="Times New Roman" w:eastAsia="Calibri" w:hAnsi="Times New Roman" w:cs="Times New Roman"/>
          <w:sz w:val="28"/>
          <w:szCs w:val="28"/>
        </w:rPr>
        <w:t>N</w:t>
      </w:r>
      <w:r>
        <w:rPr>
          <w:rFonts w:ascii="Times New Roman" w:eastAsia="Calibri" w:hAnsi="Times New Roman" w:cs="Times New Roman"/>
          <w:sz w:val="28"/>
          <w:szCs w:val="28"/>
        </w:rPr>
        <w:t xml:space="preserve">ational de la </w:t>
      </w:r>
      <w:r w:rsidR="00C30EA2">
        <w:rPr>
          <w:rFonts w:ascii="Times New Roman" w:eastAsia="Calibri" w:hAnsi="Times New Roman" w:cs="Times New Roman"/>
          <w:sz w:val="28"/>
          <w:szCs w:val="28"/>
        </w:rPr>
        <w:t>T</w:t>
      </w:r>
      <w:r>
        <w:rPr>
          <w:rFonts w:ascii="Times New Roman" w:eastAsia="Calibri" w:hAnsi="Times New Roman" w:cs="Times New Roman"/>
          <w:sz w:val="28"/>
          <w:szCs w:val="28"/>
        </w:rPr>
        <w:t>ransition</w:t>
      </w:r>
      <w:r w:rsidR="00C30EA2">
        <w:rPr>
          <w:rFonts w:ascii="Times New Roman" w:eastAsia="Calibri" w:hAnsi="Times New Roman" w:cs="Times New Roman"/>
          <w:sz w:val="28"/>
          <w:szCs w:val="28"/>
        </w:rPr>
        <w:t xml:space="preserve">, </w:t>
      </w:r>
      <w:r w:rsidR="00F6482E">
        <w:rPr>
          <w:rFonts w:ascii="Times New Roman" w:eastAsia="Calibri" w:hAnsi="Times New Roman" w:cs="Times New Roman"/>
          <w:sz w:val="28"/>
          <w:szCs w:val="28"/>
        </w:rPr>
        <w:t xml:space="preserve">du Ministre du Budget, </w:t>
      </w:r>
      <w:r w:rsidR="00C30EA2">
        <w:rPr>
          <w:rFonts w:ascii="Times New Roman" w:eastAsia="Calibri" w:hAnsi="Times New Roman" w:cs="Times New Roman"/>
          <w:sz w:val="28"/>
          <w:szCs w:val="28"/>
        </w:rPr>
        <w:t xml:space="preserve">du Secrétaire Général du </w:t>
      </w:r>
      <w:r>
        <w:rPr>
          <w:rFonts w:ascii="Times New Roman" w:eastAsia="Calibri" w:hAnsi="Times New Roman" w:cs="Times New Roman"/>
          <w:sz w:val="28"/>
          <w:szCs w:val="28"/>
        </w:rPr>
        <w:t>M</w:t>
      </w:r>
      <w:r w:rsidR="00097446">
        <w:rPr>
          <w:rFonts w:ascii="Times New Roman" w:eastAsia="Calibri" w:hAnsi="Times New Roman" w:cs="Times New Roman"/>
          <w:sz w:val="28"/>
          <w:szCs w:val="28"/>
        </w:rPr>
        <w:t>inistère de l’Energie</w:t>
      </w:r>
      <w:r w:rsidR="00C30EA2">
        <w:rPr>
          <w:rFonts w:ascii="Times New Roman" w:eastAsia="Calibri" w:hAnsi="Times New Roman" w:cs="Times New Roman"/>
          <w:sz w:val="28"/>
          <w:szCs w:val="28"/>
        </w:rPr>
        <w:t>, de l’Hydraulique et des Hydrocarbures et de</w:t>
      </w:r>
      <w:r w:rsidR="003714C0">
        <w:rPr>
          <w:rFonts w:ascii="Times New Roman" w:eastAsia="Calibri" w:hAnsi="Times New Roman" w:cs="Times New Roman"/>
          <w:sz w:val="28"/>
          <w:szCs w:val="28"/>
        </w:rPr>
        <w:t xml:space="preserve">s hauts </w:t>
      </w:r>
      <w:r w:rsidR="00C30EA2">
        <w:rPr>
          <w:rFonts w:ascii="Times New Roman" w:eastAsia="Calibri" w:hAnsi="Times New Roman" w:cs="Times New Roman"/>
          <w:sz w:val="28"/>
          <w:szCs w:val="28"/>
        </w:rPr>
        <w:t>cadres</w:t>
      </w:r>
      <w:r w:rsidR="003714C0">
        <w:rPr>
          <w:rFonts w:ascii="Times New Roman" w:eastAsia="Calibri" w:hAnsi="Times New Roman" w:cs="Times New Roman"/>
          <w:sz w:val="28"/>
          <w:szCs w:val="28"/>
        </w:rPr>
        <w:t xml:space="preserve"> des départements concernés</w:t>
      </w:r>
      <w:r w:rsidR="00ED545B">
        <w:rPr>
          <w:rFonts w:ascii="Times New Roman" w:eastAsia="Calibri" w:hAnsi="Times New Roman" w:cs="Times New Roman"/>
          <w:sz w:val="28"/>
          <w:szCs w:val="28"/>
        </w:rPr>
        <w:t>.</w:t>
      </w:r>
      <w:r w:rsidR="00C30EA2">
        <w:rPr>
          <w:rFonts w:ascii="Times New Roman" w:eastAsia="Calibri" w:hAnsi="Times New Roman" w:cs="Times New Roman"/>
          <w:sz w:val="28"/>
          <w:szCs w:val="28"/>
        </w:rPr>
        <w:t xml:space="preserve"> </w:t>
      </w:r>
    </w:p>
    <w:p w14:paraId="786B56F6" w14:textId="77777777" w:rsidR="00E62B95" w:rsidRDefault="00E62B95" w:rsidP="00557498">
      <w:pPr>
        <w:spacing w:after="0" w:line="360" w:lineRule="auto"/>
        <w:jc w:val="both"/>
        <w:rPr>
          <w:rFonts w:ascii="Times New Roman" w:eastAsia="Calibri" w:hAnsi="Times New Roman" w:cs="Times New Roman"/>
          <w:sz w:val="28"/>
          <w:szCs w:val="28"/>
        </w:rPr>
      </w:pPr>
    </w:p>
    <w:p w14:paraId="48F41C9E" w14:textId="77777777" w:rsidR="00E62B95" w:rsidRDefault="00C30EA2" w:rsidP="00557498">
      <w:pPr>
        <w:spacing w:after="0" w:line="360" w:lineRule="auto"/>
        <w:jc w:val="both"/>
      </w:pPr>
      <w:r>
        <w:rPr>
          <w:rFonts w:ascii="Times New Roman" w:eastAsia="Calibri" w:hAnsi="Times New Roman" w:cs="Times New Roman"/>
          <w:b/>
          <w:bCs/>
          <w:sz w:val="28"/>
          <w:szCs w:val="28"/>
        </w:rPr>
        <w:t>Honorables Conseillers nationaux,</w:t>
      </w:r>
    </w:p>
    <w:p w14:paraId="57FABFF9" w14:textId="77777777" w:rsidR="00E62B95" w:rsidRDefault="00E62B95" w:rsidP="00557498">
      <w:pPr>
        <w:spacing w:after="0" w:line="360" w:lineRule="auto"/>
        <w:contextualSpacing/>
        <w:jc w:val="both"/>
        <w:rPr>
          <w:rFonts w:ascii="Times New Roman" w:eastAsia="Calibri" w:hAnsi="Times New Roman" w:cs="Times New Roman"/>
          <w:b/>
          <w:sz w:val="28"/>
          <w:szCs w:val="28"/>
        </w:rPr>
      </w:pPr>
    </w:p>
    <w:p w14:paraId="49A3A6D9" w14:textId="57D7352F" w:rsidR="00E62B95" w:rsidRDefault="00C30EA2" w:rsidP="00557498">
      <w:pPr>
        <w:spacing w:after="0" w:line="360" w:lineRule="auto"/>
        <w:contextualSpacing/>
        <w:jc w:val="both"/>
      </w:pPr>
      <w:r>
        <w:rPr>
          <w:rFonts w:ascii="Times New Roman" w:eastAsia="Calibri" w:hAnsi="Times New Roman" w:cs="Times New Roman"/>
          <w:sz w:val="28"/>
          <w:szCs w:val="28"/>
        </w:rPr>
        <w:t>Au cours de l’examen de cette convention, les Conseillers nationaux ont soulevé de</w:t>
      </w:r>
      <w:r w:rsidR="00762401">
        <w:rPr>
          <w:rFonts w:ascii="Times New Roman" w:eastAsia="Calibri" w:hAnsi="Times New Roman" w:cs="Times New Roman"/>
          <w:sz w:val="28"/>
          <w:szCs w:val="28"/>
        </w:rPr>
        <w:t>s</w:t>
      </w:r>
      <w:r>
        <w:rPr>
          <w:rFonts w:ascii="Times New Roman" w:eastAsia="Calibri" w:hAnsi="Times New Roman" w:cs="Times New Roman"/>
          <w:sz w:val="28"/>
          <w:szCs w:val="28"/>
        </w:rPr>
        <w:t xml:space="preserve"> préoccupations portant sur les aspects suivants :</w:t>
      </w:r>
    </w:p>
    <w:p w14:paraId="2644A22F" w14:textId="77777777" w:rsidR="00E62B95" w:rsidRDefault="00E62B95" w:rsidP="00557498">
      <w:pPr>
        <w:spacing w:after="0" w:line="360" w:lineRule="auto"/>
        <w:contextualSpacing/>
        <w:jc w:val="both"/>
        <w:rPr>
          <w:rFonts w:ascii="Times New Roman" w:eastAsia="Calibri" w:hAnsi="Times New Roman" w:cs="Times New Roman"/>
          <w:sz w:val="28"/>
          <w:szCs w:val="28"/>
        </w:rPr>
      </w:pPr>
    </w:p>
    <w:p w14:paraId="320EA643" w14:textId="77777777" w:rsidR="00E62B95" w:rsidRDefault="00C30EA2" w:rsidP="00557498">
      <w:pPr>
        <w:pStyle w:val="Paragraphedeliste"/>
        <w:numPr>
          <w:ilvl w:val="0"/>
          <w:numId w:val="1"/>
        </w:numPr>
        <w:spacing w:after="0" w:line="360" w:lineRule="auto"/>
        <w:jc w:val="both"/>
      </w:pPr>
      <w:r>
        <w:rPr>
          <w:rFonts w:ascii="Times New Roman" w:eastAsia="Calibri" w:hAnsi="Times New Roman" w:cs="Times New Roman"/>
          <w:sz w:val="28"/>
          <w:szCs w:val="28"/>
        </w:rPr>
        <w:t>Le non-respect des dispositions du Code minier en matière d’exonération et des dispositions pertinentes du Code des investissements ;</w:t>
      </w:r>
    </w:p>
    <w:p w14:paraId="770D333A" w14:textId="77777777" w:rsidR="00E62B95" w:rsidRDefault="00C30EA2" w:rsidP="00557498">
      <w:pPr>
        <w:pStyle w:val="Paragraphedeliste"/>
        <w:numPr>
          <w:ilvl w:val="0"/>
          <w:numId w:val="1"/>
        </w:numPr>
        <w:spacing w:after="0" w:line="360" w:lineRule="auto"/>
        <w:jc w:val="both"/>
      </w:pPr>
      <w:r>
        <w:rPr>
          <w:rFonts w:ascii="Times New Roman" w:eastAsia="Calibri" w:hAnsi="Times New Roman" w:cs="Times New Roman"/>
          <w:sz w:val="28"/>
          <w:szCs w:val="28"/>
        </w:rPr>
        <w:t>Le régime fiscal du projet ;</w:t>
      </w:r>
    </w:p>
    <w:p w14:paraId="50731E92" w14:textId="77777777" w:rsidR="00E62B95" w:rsidRDefault="00C30EA2" w:rsidP="00557498">
      <w:pPr>
        <w:pStyle w:val="Paragraphedeliste"/>
        <w:numPr>
          <w:ilvl w:val="0"/>
          <w:numId w:val="1"/>
        </w:numPr>
        <w:spacing w:after="0" w:line="360" w:lineRule="auto"/>
        <w:jc w:val="both"/>
      </w:pPr>
      <w:r>
        <w:rPr>
          <w:rFonts w:ascii="Times New Roman" w:eastAsia="Calibri" w:hAnsi="Times New Roman" w:cs="Times New Roman"/>
          <w:sz w:val="28"/>
          <w:szCs w:val="28"/>
        </w:rPr>
        <w:t>Le montant réel des investissements ;</w:t>
      </w:r>
    </w:p>
    <w:p w14:paraId="6B68B375" w14:textId="77777777" w:rsidR="00E62B95" w:rsidRDefault="00C30EA2" w:rsidP="00557498">
      <w:pPr>
        <w:pStyle w:val="Paragraphedeliste"/>
        <w:numPr>
          <w:ilvl w:val="0"/>
          <w:numId w:val="1"/>
        </w:numPr>
        <w:spacing w:after="0" w:line="360" w:lineRule="auto"/>
        <w:jc w:val="both"/>
      </w:pPr>
      <w:r>
        <w:rPr>
          <w:rFonts w:ascii="Times New Roman" w:eastAsia="Calibri" w:hAnsi="Times New Roman" w:cs="Times New Roman"/>
          <w:sz w:val="28"/>
          <w:szCs w:val="28"/>
        </w:rPr>
        <w:t>Le niveau élevé des coûts patronaux ;</w:t>
      </w:r>
    </w:p>
    <w:p w14:paraId="2AB98957" w14:textId="2FEA86C2" w:rsidR="00E62B95" w:rsidRDefault="00C30EA2" w:rsidP="00557498">
      <w:pPr>
        <w:pStyle w:val="Paragraphedeliste"/>
        <w:numPr>
          <w:ilvl w:val="0"/>
          <w:numId w:val="1"/>
        </w:numPr>
        <w:spacing w:after="0" w:line="360" w:lineRule="auto"/>
        <w:jc w:val="both"/>
      </w:pPr>
      <w:r>
        <w:rPr>
          <w:rFonts w:ascii="Times New Roman" w:eastAsia="Calibri" w:hAnsi="Times New Roman" w:cs="Times New Roman"/>
          <w:sz w:val="28"/>
          <w:szCs w:val="28"/>
        </w:rPr>
        <w:t xml:space="preserve">Les dividendes retenus pour </w:t>
      </w:r>
      <w:r w:rsidR="00C11E63">
        <w:rPr>
          <w:rFonts w:ascii="Times New Roman" w:eastAsia="Calibri" w:hAnsi="Times New Roman" w:cs="Times New Roman"/>
          <w:sz w:val="28"/>
          <w:szCs w:val="28"/>
        </w:rPr>
        <w:t>six (</w:t>
      </w:r>
      <w:r>
        <w:rPr>
          <w:rFonts w:ascii="Times New Roman" w:eastAsia="Calibri" w:hAnsi="Times New Roman" w:cs="Times New Roman"/>
          <w:sz w:val="28"/>
          <w:szCs w:val="28"/>
        </w:rPr>
        <w:t>6</w:t>
      </w:r>
      <w:r w:rsidR="00C11E63">
        <w:rPr>
          <w:rFonts w:ascii="Times New Roman" w:eastAsia="Calibri" w:hAnsi="Times New Roman" w:cs="Times New Roman"/>
          <w:sz w:val="28"/>
          <w:szCs w:val="28"/>
        </w:rPr>
        <w:t>)</w:t>
      </w:r>
      <w:r>
        <w:rPr>
          <w:rFonts w:ascii="Times New Roman" w:eastAsia="Calibri" w:hAnsi="Times New Roman" w:cs="Times New Roman"/>
          <w:sz w:val="28"/>
          <w:szCs w:val="28"/>
        </w:rPr>
        <w:t xml:space="preserve"> ans alors qu’ils sont déjà disponibles ;</w:t>
      </w:r>
    </w:p>
    <w:p w14:paraId="2AD68F92" w14:textId="77777777" w:rsidR="00E62B95" w:rsidRDefault="00C30EA2" w:rsidP="00557498">
      <w:pPr>
        <w:pStyle w:val="Paragraphedeliste"/>
        <w:numPr>
          <w:ilvl w:val="0"/>
          <w:numId w:val="1"/>
        </w:numPr>
        <w:spacing w:after="0" w:line="360" w:lineRule="auto"/>
        <w:jc w:val="both"/>
      </w:pPr>
      <w:r>
        <w:rPr>
          <w:rFonts w:ascii="Times New Roman" w:eastAsia="Calibri" w:hAnsi="Times New Roman" w:cs="Times New Roman"/>
          <w:sz w:val="28"/>
          <w:szCs w:val="28"/>
        </w:rPr>
        <w:t>Les conditions d’acquisition des sites pour la réalisation du projet ;</w:t>
      </w:r>
    </w:p>
    <w:p w14:paraId="044E9A07" w14:textId="77777777" w:rsidR="00E62B95" w:rsidRDefault="00C30EA2" w:rsidP="00557498">
      <w:pPr>
        <w:pStyle w:val="Paragraphedeliste"/>
        <w:numPr>
          <w:ilvl w:val="0"/>
          <w:numId w:val="1"/>
        </w:numPr>
        <w:spacing w:after="0" w:line="360" w:lineRule="auto"/>
        <w:jc w:val="both"/>
      </w:pPr>
      <w:r>
        <w:rPr>
          <w:rFonts w:ascii="Times New Roman" w:eastAsia="Calibri" w:hAnsi="Times New Roman" w:cs="Times New Roman"/>
          <w:sz w:val="28"/>
          <w:szCs w:val="28"/>
        </w:rPr>
        <w:t>Le potentiel gazier de la Guinée ;</w:t>
      </w:r>
    </w:p>
    <w:p w14:paraId="5677A4AE" w14:textId="77777777" w:rsidR="00E62B95" w:rsidRDefault="00C30EA2" w:rsidP="00557498">
      <w:pPr>
        <w:pStyle w:val="Paragraphedeliste"/>
        <w:numPr>
          <w:ilvl w:val="0"/>
          <w:numId w:val="1"/>
        </w:numPr>
        <w:spacing w:after="0" w:line="360" w:lineRule="auto"/>
        <w:jc w:val="both"/>
      </w:pPr>
      <w:r>
        <w:rPr>
          <w:rFonts w:ascii="Times New Roman" w:eastAsia="Calibri" w:hAnsi="Times New Roman" w:cs="Times New Roman"/>
          <w:sz w:val="28"/>
          <w:szCs w:val="28"/>
        </w:rPr>
        <w:t>Le délai d’installation de l’usine ;</w:t>
      </w:r>
    </w:p>
    <w:p w14:paraId="46F59282" w14:textId="77777777" w:rsidR="00E62B95" w:rsidRDefault="00C30EA2" w:rsidP="00557498">
      <w:pPr>
        <w:pStyle w:val="Paragraphedeliste"/>
        <w:numPr>
          <w:ilvl w:val="0"/>
          <w:numId w:val="1"/>
        </w:numPr>
        <w:spacing w:after="0" w:line="360" w:lineRule="auto"/>
        <w:jc w:val="both"/>
      </w:pPr>
      <w:r>
        <w:rPr>
          <w:rFonts w:ascii="Times New Roman" w:eastAsia="Calibri" w:hAnsi="Times New Roman" w:cs="Times New Roman"/>
          <w:sz w:val="28"/>
          <w:szCs w:val="28"/>
        </w:rPr>
        <w:t>La confidentialité demandée par les partenaires.</w:t>
      </w:r>
    </w:p>
    <w:p w14:paraId="56026343" w14:textId="77777777" w:rsidR="00E62B95" w:rsidRDefault="00E62B95" w:rsidP="00557498">
      <w:pPr>
        <w:pStyle w:val="Paragraphedeliste"/>
        <w:spacing w:after="0" w:line="360" w:lineRule="auto"/>
        <w:ind w:left="1440"/>
        <w:jc w:val="both"/>
        <w:rPr>
          <w:rFonts w:ascii="Times New Roman" w:eastAsia="Calibri" w:hAnsi="Times New Roman" w:cs="Times New Roman"/>
          <w:sz w:val="28"/>
          <w:szCs w:val="28"/>
        </w:rPr>
      </w:pPr>
    </w:p>
    <w:p w14:paraId="34A6D99B" w14:textId="0D6248E1" w:rsidR="00E62B95" w:rsidRDefault="00C30EA2" w:rsidP="00557498">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Au vu des réponses insuffisantes fournies par </w:t>
      </w:r>
      <w:r w:rsidR="00C11E63">
        <w:rPr>
          <w:rFonts w:ascii="Times New Roman" w:eastAsia="Calibri" w:hAnsi="Times New Roman" w:cs="Times New Roman"/>
          <w:sz w:val="28"/>
          <w:szCs w:val="28"/>
        </w:rPr>
        <w:t>les cadres</w:t>
      </w:r>
      <w:r>
        <w:rPr>
          <w:rFonts w:ascii="Times New Roman" w:eastAsia="Calibri" w:hAnsi="Times New Roman" w:cs="Times New Roman"/>
          <w:sz w:val="28"/>
          <w:szCs w:val="28"/>
        </w:rPr>
        <w:t xml:space="preserve">, les Conseillers nationaux, sous le leadership du </w:t>
      </w:r>
      <w:r w:rsidRPr="00C11E63">
        <w:rPr>
          <w:rFonts w:ascii="Times New Roman" w:eastAsia="Calibri" w:hAnsi="Times New Roman" w:cs="Times New Roman"/>
          <w:b/>
          <w:bCs/>
          <w:sz w:val="28"/>
          <w:szCs w:val="28"/>
        </w:rPr>
        <w:t xml:space="preserve">Président </w:t>
      </w:r>
      <w:r w:rsidR="00C11E63" w:rsidRPr="00C11E63">
        <w:rPr>
          <w:rFonts w:ascii="Times New Roman" w:eastAsia="Calibri" w:hAnsi="Times New Roman" w:cs="Times New Roman"/>
          <w:b/>
          <w:bCs/>
          <w:sz w:val="28"/>
          <w:szCs w:val="28"/>
        </w:rPr>
        <w:t xml:space="preserve">du Conseil National de la Transition, </w:t>
      </w:r>
      <w:r w:rsidRPr="00C11E63">
        <w:rPr>
          <w:rFonts w:ascii="Times New Roman" w:eastAsia="Calibri" w:hAnsi="Times New Roman" w:cs="Times New Roman"/>
          <w:b/>
          <w:bCs/>
          <w:sz w:val="28"/>
          <w:szCs w:val="28"/>
        </w:rPr>
        <w:t>Dr Dansa Kourouma</w:t>
      </w:r>
      <w:r>
        <w:rPr>
          <w:rFonts w:ascii="Times New Roman" w:eastAsia="Calibri" w:hAnsi="Times New Roman" w:cs="Times New Roman"/>
          <w:sz w:val="28"/>
          <w:szCs w:val="28"/>
        </w:rPr>
        <w:t xml:space="preserve">, </w:t>
      </w:r>
      <w:r w:rsidR="00097446">
        <w:rPr>
          <w:rFonts w:ascii="Times New Roman" w:eastAsia="Calibri" w:hAnsi="Times New Roman" w:cs="Times New Roman"/>
          <w:sz w:val="28"/>
          <w:szCs w:val="28"/>
        </w:rPr>
        <w:t xml:space="preserve">ont </w:t>
      </w:r>
      <w:r>
        <w:rPr>
          <w:rFonts w:ascii="Times New Roman" w:eastAsia="Calibri" w:hAnsi="Times New Roman" w:cs="Times New Roman"/>
          <w:sz w:val="28"/>
          <w:szCs w:val="28"/>
        </w:rPr>
        <w:t xml:space="preserve">renvoyé la convention au </w:t>
      </w:r>
      <w:r w:rsidR="00C11E63">
        <w:rPr>
          <w:rFonts w:ascii="Times New Roman" w:eastAsia="Calibri" w:hAnsi="Times New Roman" w:cs="Times New Roman"/>
          <w:sz w:val="28"/>
          <w:szCs w:val="28"/>
        </w:rPr>
        <w:t>G</w:t>
      </w:r>
      <w:r>
        <w:rPr>
          <w:rFonts w:ascii="Times New Roman" w:eastAsia="Calibri" w:hAnsi="Times New Roman" w:cs="Times New Roman"/>
          <w:sz w:val="28"/>
          <w:szCs w:val="28"/>
        </w:rPr>
        <w:t xml:space="preserve">ouvernement pour une prise en compte des observations et recommandations formulées par le Conseil National de la Transition (CNT). </w:t>
      </w:r>
    </w:p>
    <w:p w14:paraId="7FF6E818" w14:textId="77777777" w:rsidR="00E62B95" w:rsidRDefault="00E62B95" w:rsidP="00557498">
      <w:pPr>
        <w:spacing w:after="0" w:line="360" w:lineRule="auto"/>
        <w:contextualSpacing/>
        <w:jc w:val="both"/>
        <w:rPr>
          <w:rFonts w:ascii="Times New Roman" w:eastAsia="Calibri" w:hAnsi="Times New Roman" w:cs="Times New Roman"/>
          <w:sz w:val="28"/>
          <w:szCs w:val="28"/>
        </w:rPr>
      </w:pPr>
    </w:p>
    <w:p w14:paraId="3E32EA4A" w14:textId="033A2745" w:rsidR="00E62B95" w:rsidRDefault="00C30EA2" w:rsidP="00557498">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Ce renvoi traduit parfaitement le souci des Conseillers nationaux pour le respect des dispositions législatives et règlementaires en matière de fiscalité et pour l’amélioration des revenus de l’État dans un contexte marqué par la rareté des ressources</w:t>
      </w:r>
      <w:r w:rsidR="00C95837">
        <w:rPr>
          <w:rFonts w:ascii="Times New Roman" w:eastAsia="Calibri" w:hAnsi="Times New Roman" w:cs="Times New Roman"/>
          <w:sz w:val="28"/>
          <w:szCs w:val="28"/>
        </w:rPr>
        <w:t xml:space="preserve">, le chômage des jeunes et la sous exploitation de nos </w:t>
      </w:r>
      <w:r w:rsidR="00ED545B">
        <w:rPr>
          <w:rFonts w:ascii="Times New Roman" w:eastAsia="Calibri" w:hAnsi="Times New Roman" w:cs="Times New Roman"/>
          <w:sz w:val="28"/>
          <w:szCs w:val="28"/>
        </w:rPr>
        <w:t>minerais notamment</w:t>
      </w:r>
      <w:r w:rsidR="00C95837">
        <w:rPr>
          <w:rFonts w:ascii="Times New Roman" w:eastAsia="Calibri" w:hAnsi="Times New Roman" w:cs="Times New Roman"/>
          <w:sz w:val="28"/>
          <w:szCs w:val="28"/>
        </w:rPr>
        <w:t xml:space="preserve"> la bauxite dont la Guinée e</w:t>
      </w:r>
      <w:r w:rsidR="00ED545B">
        <w:rPr>
          <w:rFonts w:ascii="Times New Roman" w:eastAsia="Calibri" w:hAnsi="Times New Roman" w:cs="Times New Roman"/>
          <w:sz w:val="28"/>
          <w:szCs w:val="28"/>
        </w:rPr>
        <w:t xml:space="preserve">st le </w:t>
      </w:r>
      <w:r w:rsidR="00C95837">
        <w:rPr>
          <w:rFonts w:ascii="Times New Roman" w:eastAsia="Calibri" w:hAnsi="Times New Roman" w:cs="Times New Roman"/>
          <w:sz w:val="28"/>
          <w:szCs w:val="28"/>
        </w:rPr>
        <w:t>deuxième producteur dans le monde</w:t>
      </w:r>
      <w:r>
        <w:rPr>
          <w:rFonts w:ascii="Times New Roman" w:eastAsia="Calibri" w:hAnsi="Times New Roman" w:cs="Times New Roman"/>
          <w:sz w:val="28"/>
          <w:szCs w:val="28"/>
        </w:rPr>
        <w:t xml:space="preserve">. </w:t>
      </w:r>
    </w:p>
    <w:p w14:paraId="14571751" w14:textId="77777777" w:rsidR="00097446" w:rsidRDefault="00097446" w:rsidP="00557498">
      <w:pPr>
        <w:spacing w:after="0" w:line="360" w:lineRule="auto"/>
        <w:contextualSpacing/>
        <w:jc w:val="both"/>
        <w:rPr>
          <w:rFonts w:ascii="Times New Roman" w:eastAsia="Calibri" w:hAnsi="Times New Roman" w:cs="Times New Roman"/>
          <w:sz w:val="28"/>
          <w:szCs w:val="28"/>
        </w:rPr>
      </w:pPr>
    </w:p>
    <w:p w14:paraId="102A1E88" w14:textId="7D2D3C71" w:rsidR="00097446" w:rsidRDefault="00097446" w:rsidP="00557498">
      <w:pPr>
        <w:spacing w:after="0" w:line="360" w:lineRule="auto"/>
        <w:contextualSpacing/>
        <w:jc w:val="both"/>
        <w:rPr>
          <w:rFonts w:ascii="Times New Roman" w:eastAsia="Calibri" w:hAnsi="Times New Roman" w:cs="Times New Roman"/>
          <w:sz w:val="28"/>
          <w:szCs w:val="28"/>
        </w:rPr>
      </w:pPr>
      <w:r w:rsidRPr="00097446">
        <w:rPr>
          <w:rFonts w:ascii="Times New Roman" w:eastAsia="Calibri" w:hAnsi="Times New Roman" w:cs="Times New Roman"/>
          <w:b/>
          <w:bCs/>
          <w:sz w:val="28"/>
          <w:szCs w:val="28"/>
        </w:rPr>
        <w:t>Honorables conseillers nationaux</w:t>
      </w:r>
      <w:r>
        <w:rPr>
          <w:rFonts w:ascii="Times New Roman" w:eastAsia="Calibri" w:hAnsi="Times New Roman" w:cs="Times New Roman"/>
          <w:sz w:val="28"/>
          <w:szCs w:val="28"/>
        </w:rPr>
        <w:t>,</w:t>
      </w:r>
    </w:p>
    <w:p w14:paraId="5A5CE60C" w14:textId="77777777" w:rsidR="00097446" w:rsidRDefault="00097446" w:rsidP="00557498">
      <w:pPr>
        <w:spacing w:after="0" w:line="360" w:lineRule="auto"/>
        <w:contextualSpacing/>
        <w:jc w:val="both"/>
        <w:rPr>
          <w:rFonts w:ascii="Times New Roman" w:eastAsia="Calibri" w:hAnsi="Times New Roman" w:cs="Times New Roman"/>
          <w:sz w:val="28"/>
          <w:szCs w:val="28"/>
        </w:rPr>
      </w:pPr>
    </w:p>
    <w:p w14:paraId="2AB7D603" w14:textId="77777777" w:rsidR="009811A8" w:rsidRDefault="00097446" w:rsidP="00557498">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Suite à ce renvoi, la Commission des Affaires Economiques et du Développement Durable</w:t>
      </w:r>
      <w:r w:rsidR="009811A8">
        <w:rPr>
          <w:rFonts w:ascii="Times New Roman" w:eastAsia="Calibri" w:hAnsi="Times New Roman" w:cs="Times New Roman"/>
          <w:sz w:val="28"/>
          <w:szCs w:val="28"/>
        </w:rPr>
        <w:t xml:space="preserve">, et </w:t>
      </w:r>
      <w:r w:rsidR="009811A8" w:rsidRPr="009811A8">
        <w:rPr>
          <w:rFonts w:ascii="Times New Roman" w:eastAsia="Calibri" w:hAnsi="Times New Roman" w:cs="Times New Roman"/>
          <w:sz w:val="28"/>
          <w:szCs w:val="28"/>
        </w:rPr>
        <w:t xml:space="preserve">la Commission du Plan, des Affaires financières et du contrôle budgétaire, </w:t>
      </w:r>
      <w:r>
        <w:rPr>
          <w:rFonts w:ascii="Times New Roman" w:eastAsia="Calibri" w:hAnsi="Times New Roman" w:cs="Times New Roman"/>
          <w:sz w:val="28"/>
          <w:szCs w:val="28"/>
        </w:rPr>
        <w:t>ont reçu</w:t>
      </w:r>
      <w:r w:rsidR="006319B6">
        <w:rPr>
          <w:rFonts w:ascii="Times New Roman" w:eastAsia="Calibri" w:hAnsi="Times New Roman" w:cs="Times New Roman"/>
          <w:sz w:val="28"/>
          <w:szCs w:val="28"/>
        </w:rPr>
        <w:t xml:space="preserve"> </w:t>
      </w:r>
      <w:r w:rsidR="009811A8">
        <w:rPr>
          <w:rFonts w:ascii="Times New Roman" w:eastAsia="Calibri" w:hAnsi="Times New Roman" w:cs="Times New Roman"/>
          <w:sz w:val="28"/>
          <w:szCs w:val="28"/>
        </w:rPr>
        <w:t xml:space="preserve">le 24 juillet 2023, </w:t>
      </w:r>
      <w:r w:rsidR="00C95837">
        <w:rPr>
          <w:rFonts w:ascii="Times New Roman" w:eastAsia="Calibri" w:hAnsi="Times New Roman" w:cs="Times New Roman"/>
          <w:sz w:val="28"/>
          <w:szCs w:val="28"/>
        </w:rPr>
        <w:t>au nom des Conseillers Nationaux</w:t>
      </w:r>
      <w:r w:rsidR="009811A8">
        <w:rPr>
          <w:rFonts w:ascii="Times New Roman" w:eastAsia="Calibri" w:hAnsi="Times New Roman" w:cs="Times New Roman"/>
          <w:sz w:val="28"/>
          <w:szCs w:val="28"/>
        </w:rPr>
        <w:t>,</w:t>
      </w:r>
      <w:r w:rsidR="00C95837">
        <w:rPr>
          <w:rFonts w:ascii="Times New Roman" w:eastAsia="Calibri" w:hAnsi="Times New Roman" w:cs="Times New Roman"/>
          <w:sz w:val="28"/>
          <w:szCs w:val="28"/>
        </w:rPr>
        <w:t xml:space="preserve"> </w:t>
      </w:r>
      <w:r w:rsidR="006319B6">
        <w:rPr>
          <w:rFonts w:ascii="Times New Roman" w:eastAsia="Calibri" w:hAnsi="Times New Roman" w:cs="Times New Roman"/>
          <w:sz w:val="28"/>
          <w:szCs w:val="28"/>
        </w:rPr>
        <w:t xml:space="preserve">les </w:t>
      </w:r>
      <w:r w:rsidR="00C95837">
        <w:rPr>
          <w:rFonts w:ascii="Times New Roman" w:eastAsia="Calibri" w:hAnsi="Times New Roman" w:cs="Times New Roman"/>
          <w:sz w:val="28"/>
          <w:szCs w:val="28"/>
        </w:rPr>
        <w:lastRenderedPageBreak/>
        <w:t>promoteurs</w:t>
      </w:r>
      <w:r w:rsidR="006319B6">
        <w:rPr>
          <w:rFonts w:ascii="Times New Roman" w:eastAsia="Calibri" w:hAnsi="Times New Roman" w:cs="Times New Roman"/>
          <w:sz w:val="28"/>
          <w:szCs w:val="28"/>
        </w:rPr>
        <w:t xml:space="preserve"> de West </w:t>
      </w:r>
      <w:proofErr w:type="spellStart"/>
      <w:r w:rsidR="006319B6">
        <w:rPr>
          <w:rFonts w:ascii="Times New Roman" w:eastAsia="Calibri" w:hAnsi="Times New Roman" w:cs="Times New Roman"/>
          <w:sz w:val="28"/>
          <w:szCs w:val="28"/>
        </w:rPr>
        <w:t>Africa</w:t>
      </w:r>
      <w:proofErr w:type="spellEnd"/>
      <w:r w:rsidR="006319B6">
        <w:rPr>
          <w:rFonts w:ascii="Times New Roman" w:eastAsia="Calibri" w:hAnsi="Times New Roman" w:cs="Times New Roman"/>
          <w:sz w:val="28"/>
          <w:szCs w:val="28"/>
        </w:rPr>
        <w:t xml:space="preserve"> LNG Group,</w:t>
      </w:r>
      <w:r>
        <w:rPr>
          <w:rFonts w:ascii="Times New Roman" w:eastAsia="Calibri" w:hAnsi="Times New Roman" w:cs="Times New Roman"/>
          <w:sz w:val="28"/>
          <w:szCs w:val="28"/>
        </w:rPr>
        <w:t xml:space="preserve"> </w:t>
      </w:r>
      <w:r w:rsidR="009811A8">
        <w:rPr>
          <w:rFonts w:ascii="Times New Roman" w:eastAsia="Calibri" w:hAnsi="Times New Roman" w:cs="Times New Roman"/>
          <w:sz w:val="28"/>
          <w:szCs w:val="28"/>
        </w:rPr>
        <w:t>partie à</w:t>
      </w:r>
      <w:r>
        <w:rPr>
          <w:rFonts w:ascii="Times New Roman" w:eastAsia="Calibri" w:hAnsi="Times New Roman" w:cs="Times New Roman"/>
          <w:sz w:val="28"/>
          <w:szCs w:val="28"/>
        </w:rPr>
        <w:t xml:space="preserve"> cette convention. Après </w:t>
      </w:r>
      <w:r w:rsidR="00C95837">
        <w:rPr>
          <w:rFonts w:ascii="Times New Roman" w:eastAsia="Calibri" w:hAnsi="Times New Roman" w:cs="Times New Roman"/>
          <w:sz w:val="28"/>
          <w:szCs w:val="28"/>
        </w:rPr>
        <w:t xml:space="preserve">des </w:t>
      </w:r>
      <w:r>
        <w:rPr>
          <w:rFonts w:ascii="Times New Roman" w:eastAsia="Calibri" w:hAnsi="Times New Roman" w:cs="Times New Roman"/>
          <w:sz w:val="28"/>
          <w:szCs w:val="28"/>
        </w:rPr>
        <w:t xml:space="preserve">heures d’intenses débats, chacune </w:t>
      </w:r>
      <w:r w:rsidR="00C43137">
        <w:rPr>
          <w:rFonts w:ascii="Times New Roman" w:eastAsia="Calibri" w:hAnsi="Times New Roman" w:cs="Times New Roman"/>
          <w:sz w:val="28"/>
          <w:szCs w:val="28"/>
        </w:rPr>
        <w:t>des parties</w:t>
      </w:r>
      <w:r>
        <w:rPr>
          <w:rFonts w:ascii="Times New Roman" w:eastAsia="Calibri" w:hAnsi="Times New Roman" w:cs="Times New Roman"/>
          <w:sz w:val="28"/>
          <w:szCs w:val="28"/>
        </w:rPr>
        <w:t xml:space="preserve"> a défendu sa position</w:t>
      </w:r>
      <w:r w:rsidR="00C43137">
        <w:rPr>
          <w:rFonts w:ascii="Times New Roman" w:eastAsia="Calibri" w:hAnsi="Times New Roman" w:cs="Times New Roman"/>
          <w:sz w:val="28"/>
          <w:szCs w:val="28"/>
        </w:rPr>
        <w:t xml:space="preserve"> sans entente.</w:t>
      </w:r>
      <w:r>
        <w:rPr>
          <w:rFonts w:ascii="Times New Roman" w:eastAsia="Calibri" w:hAnsi="Times New Roman" w:cs="Times New Roman"/>
          <w:sz w:val="28"/>
          <w:szCs w:val="28"/>
        </w:rPr>
        <w:t xml:space="preserve"> </w:t>
      </w:r>
    </w:p>
    <w:p w14:paraId="515DCF47" w14:textId="77777777" w:rsidR="009811A8" w:rsidRDefault="009811A8" w:rsidP="00557498">
      <w:pPr>
        <w:spacing w:after="0" w:line="360" w:lineRule="auto"/>
        <w:contextualSpacing/>
        <w:jc w:val="both"/>
        <w:rPr>
          <w:rFonts w:ascii="Times New Roman" w:eastAsia="Calibri" w:hAnsi="Times New Roman" w:cs="Times New Roman"/>
          <w:sz w:val="28"/>
          <w:szCs w:val="28"/>
        </w:rPr>
      </w:pPr>
    </w:p>
    <w:p w14:paraId="039C5534" w14:textId="19AA0346" w:rsidR="009811A8" w:rsidRDefault="00C43137" w:rsidP="00557498">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Après moultes tractations pour l’intérêt général de la population guinéenne, </w:t>
      </w:r>
      <w:r w:rsidR="009811A8">
        <w:rPr>
          <w:rFonts w:ascii="Times New Roman" w:eastAsia="Calibri" w:hAnsi="Times New Roman" w:cs="Times New Roman"/>
          <w:sz w:val="28"/>
          <w:szCs w:val="28"/>
        </w:rPr>
        <w:t>les observations</w:t>
      </w:r>
      <w:r>
        <w:rPr>
          <w:rFonts w:ascii="Times New Roman" w:eastAsia="Calibri" w:hAnsi="Times New Roman" w:cs="Times New Roman"/>
          <w:sz w:val="28"/>
          <w:szCs w:val="28"/>
        </w:rPr>
        <w:t xml:space="preserve"> et recommandations du CNT </w:t>
      </w:r>
      <w:r w:rsidR="00454381">
        <w:rPr>
          <w:rFonts w:ascii="Times New Roman" w:eastAsia="Calibri" w:hAnsi="Times New Roman" w:cs="Times New Roman"/>
          <w:sz w:val="28"/>
          <w:szCs w:val="28"/>
        </w:rPr>
        <w:t>sur l’</w:t>
      </w:r>
      <w:r w:rsidR="009811A8">
        <w:rPr>
          <w:rFonts w:ascii="Times New Roman" w:eastAsia="Calibri" w:hAnsi="Times New Roman" w:cs="Times New Roman"/>
          <w:sz w:val="28"/>
          <w:szCs w:val="28"/>
        </w:rPr>
        <w:t>assiette</w:t>
      </w:r>
      <w:r w:rsidR="00454381">
        <w:rPr>
          <w:rFonts w:ascii="Times New Roman" w:eastAsia="Calibri" w:hAnsi="Times New Roman" w:cs="Times New Roman"/>
          <w:sz w:val="28"/>
          <w:szCs w:val="28"/>
        </w:rPr>
        <w:t xml:space="preserve"> fiscale ont</w:t>
      </w:r>
      <w:r>
        <w:rPr>
          <w:rFonts w:ascii="Times New Roman" w:eastAsia="Calibri" w:hAnsi="Times New Roman" w:cs="Times New Roman"/>
          <w:sz w:val="28"/>
          <w:szCs w:val="28"/>
        </w:rPr>
        <w:t xml:space="preserve"> été consacrée</w:t>
      </w:r>
      <w:r w:rsidR="00454381">
        <w:rPr>
          <w:rFonts w:ascii="Times New Roman" w:eastAsia="Calibri" w:hAnsi="Times New Roman" w:cs="Times New Roman"/>
          <w:sz w:val="28"/>
          <w:szCs w:val="28"/>
        </w:rPr>
        <w:t>s</w:t>
      </w:r>
      <w:r>
        <w:rPr>
          <w:rFonts w:ascii="Times New Roman" w:eastAsia="Calibri" w:hAnsi="Times New Roman" w:cs="Times New Roman"/>
          <w:sz w:val="28"/>
          <w:szCs w:val="28"/>
        </w:rPr>
        <w:t xml:space="preserve"> </w:t>
      </w:r>
      <w:r w:rsidR="009811A8">
        <w:rPr>
          <w:rFonts w:ascii="Times New Roman" w:eastAsia="Calibri" w:hAnsi="Times New Roman" w:cs="Times New Roman"/>
          <w:sz w:val="28"/>
          <w:szCs w:val="28"/>
        </w:rPr>
        <w:t xml:space="preserve">et </w:t>
      </w:r>
      <w:r w:rsidR="00454381">
        <w:rPr>
          <w:rFonts w:ascii="Times New Roman" w:eastAsia="Calibri" w:hAnsi="Times New Roman" w:cs="Times New Roman"/>
          <w:sz w:val="28"/>
          <w:szCs w:val="28"/>
        </w:rPr>
        <w:t xml:space="preserve">intégrées. </w:t>
      </w:r>
    </w:p>
    <w:p w14:paraId="24F78AE5" w14:textId="77777777" w:rsidR="009811A8" w:rsidRDefault="009811A8" w:rsidP="00557498">
      <w:pPr>
        <w:spacing w:after="0" w:line="360" w:lineRule="auto"/>
        <w:contextualSpacing/>
        <w:jc w:val="both"/>
        <w:rPr>
          <w:rFonts w:ascii="Times New Roman" w:eastAsia="Calibri" w:hAnsi="Times New Roman" w:cs="Times New Roman"/>
          <w:sz w:val="28"/>
          <w:szCs w:val="28"/>
        </w:rPr>
      </w:pPr>
    </w:p>
    <w:p w14:paraId="004B1682" w14:textId="1909B9D0" w:rsidR="00E62B95" w:rsidRDefault="009811A8" w:rsidP="00557498">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Elles portent</w:t>
      </w:r>
      <w:r w:rsidR="00C43137">
        <w:rPr>
          <w:rFonts w:ascii="Times New Roman" w:eastAsia="Calibri" w:hAnsi="Times New Roman" w:cs="Times New Roman"/>
          <w:sz w:val="28"/>
          <w:szCs w:val="28"/>
        </w:rPr>
        <w:t xml:space="preserve"> sur les points suivants :</w:t>
      </w:r>
    </w:p>
    <w:p w14:paraId="5BAB298E" w14:textId="77777777" w:rsidR="00E62B95" w:rsidRDefault="00E62B95" w:rsidP="00557498">
      <w:pPr>
        <w:spacing w:after="0" w:line="360" w:lineRule="auto"/>
        <w:contextualSpacing/>
        <w:jc w:val="both"/>
        <w:rPr>
          <w:rFonts w:ascii="Times New Roman" w:eastAsia="Calibri" w:hAnsi="Times New Roman" w:cs="Times New Roman"/>
          <w:sz w:val="28"/>
          <w:szCs w:val="28"/>
        </w:rPr>
      </w:pPr>
    </w:p>
    <w:p w14:paraId="50660C7F" w14:textId="77777777" w:rsidR="00E62B95" w:rsidRDefault="00C30EA2" w:rsidP="00557498">
      <w:pPr>
        <w:numPr>
          <w:ilvl w:val="0"/>
          <w:numId w:val="2"/>
        </w:num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La non- déductibilité des coûts d’entretien, des surestaries non causées par l’État et les commissions versées aux centrales d’achat ;</w:t>
      </w:r>
    </w:p>
    <w:p w14:paraId="75FA392D" w14:textId="69C8F35D" w:rsidR="00E62B95" w:rsidRDefault="00C30EA2" w:rsidP="00557498">
      <w:pPr>
        <w:numPr>
          <w:ilvl w:val="0"/>
          <w:numId w:val="2"/>
        </w:num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L’éligibilité de l’entreprise au paiement de la RTI, au taux de 2 </w:t>
      </w:r>
      <w:r w:rsidR="00E91193">
        <w:rPr>
          <w:rFonts w:ascii="Times New Roman" w:eastAsia="Calibri" w:hAnsi="Times New Roman" w:cs="Times New Roman"/>
          <w:sz w:val="28"/>
          <w:szCs w:val="28"/>
        </w:rPr>
        <w:t>% ;</w:t>
      </w:r>
    </w:p>
    <w:p w14:paraId="1B7079C6" w14:textId="77777777" w:rsidR="00E62B95" w:rsidRDefault="00C30EA2" w:rsidP="00557498">
      <w:pPr>
        <w:numPr>
          <w:ilvl w:val="0"/>
          <w:numId w:val="2"/>
        </w:num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La limitation des avantages fiscaux de la période d’installation à 3 ans au maximum, à partir de la première importation ;</w:t>
      </w:r>
    </w:p>
    <w:p w14:paraId="44FC4F4F" w14:textId="77777777" w:rsidR="00E62B95" w:rsidRDefault="00C30EA2" w:rsidP="00557498">
      <w:pPr>
        <w:numPr>
          <w:ilvl w:val="0"/>
          <w:numId w:val="2"/>
        </w:num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La revue à la baisse de la période dérogatoire fiscal de l’IS, de 20 à 15 ans ; </w:t>
      </w:r>
    </w:p>
    <w:p w14:paraId="1E7B7440" w14:textId="77777777" w:rsidR="00E62B95" w:rsidRDefault="00C30EA2" w:rsidP="00557498">
      <w:pPr>
        <w:numPr>
          <w:ilvl w:val="0"/>
          <w:numId w:val="2"/>
        </w:num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La réduction du taux d’imposition de l’IS ainsi qu’il suit :</w:t>
      </w:r>
    </w:p>
    <w:p w14:paraId="012779F8" w14:textId="77777777" w:rsidR="00E62B95" w:rsidRDefault="00E62B95" w:rsidP="00557498">
      <w:pPr>
        <w:spacing w:after="0" w:line="360" w:lineRule="auto"/>
        <w:ind w:left="720"/>
        <w:contextualSpacing/>
        <w:jc w:val="both"/>
        <w:rPr>
          <w:rFonts w:ascii="Times New Roman" w:eastAsia="Calibri" w:hAnsi="Times New Roman" w:cs="Times New Roman"/>
          <w:sz w:val="28"/>
          <w:szCs w:val="28"/>
        </w:rPr>
      </w:pPr>
    </w:p>
    <w:p w14:paraId="627ED3D7" w14:textId="77777777" w:rsidR="00E62B95" w:rsidRDefault="00C30EA2" w:rsidP="00557498">
      <w:pPr>
        <w:numPr>
          <w:ilvl w:val="2"/>
          <w:numId w:val="2"/>
        </w:numPr>
        <w:spacing w:after="0" w:line="360" w:lineRule="auto"/>
        <w:contextualSpacing/>
        <w:jc w:val="both"/>
      </w:pPr>
      <w:r>
        <w:rPr>
          <w:rFonts w:ascii="Times New Roman" w:eastAsia="Calibri" w:hAnsi="Times New Roman" w:cs="Times New Roman"/>
          <w:sz w:val="28"/>
          <w:szCs w:val="28"/>
        </w:rPr>
        <w:t>100 % de 1 à 5 ans ;</w:t>
      </w:r>
    </w:p>
    <w:p w14:paraId="3691DA84" w14:textId="77777777" w:rsidR="00E62B95" w:rsidRDefault="00C30EA2" w:rsidP="00557498">
      <w:pPr>
        <w:numPr>
          <w:ilvl w:val="2"/>
          <w:numId w:val="2"/>
        </w:numPr>
        <w:spacing w:after="0" w:line="360" w:lineRule="auto"/>
        <w:contextualSpacing/>
        <w:jc w:val="both"/>
      </w:pPr>
      <w:r>
        <w:rPr>
          <w:rFonts w:ascii="Times New Roman" w:eastAsia="Calibri" w:hAnsi="Times New Roman" w:cs="Times New Roman"/>
          <w:sz w:val="28"/>
          <w:szCs w:val="28"/>
        </w:rPr>
        <w:t>70 % de 6 à 11 ans ;</w:t>
      </w:r>
    </w:p>
    <w:p w14:paraId="1478BF1D" w14:textId="77777777" w:rsidR="00E62B95" w:rsidRDefault="00C30EA2" w:rsidP="00557498">
      <w:pPr>
        <w:numPr>
          <w:ilvl w:val="2"/>
          <w:numId w:val="2"/>
        </w:numPr>
        <w:spacing w:after="0" w:line="360" w:lineRule="auto"/>
        <w:contextualSpacing/>
        <w:jc w:val="both"/>
      </w:pPr>
      <w:r>
        <w:rPr>
          <w:rFonts w:ascii="Times New Roman" w:eastAsia="Calibri" w:hAnsi="Times New Roman" w:cs="Times New Roman"/>
          <w:sz w:val="28"/>
          <w:szCs w:val="28"/>
        </w:rPr>
        <w:t>45 % de 12 à 15 ans ;</w:t>
      </w:r>
    </w:p>
    <w:p w14:paraId="7748881C" w14:textId="77777777" w:rsidR="00E62B95" w:rsidRDefault="00C30EA2" w:rsidP="00557498">
      <w:pPr>
        <w:numPr>
          <w:ilvl w:val="2"/>
          <w:numId w:val="2"/>
        </w:numPr>
        <w:spacing w:after="0" w:line="360" w:lineRule="auto"/>
        <w:contextualSpacing/>
        <w:jc w:val="both"/>
      </w:pPr>
      <w:r>
        <w:rPr>
          <w:rFonts w:ascii="Times New Roman" w:eastAsia="Calibri" w:hAnsi="Times New Roman" w:cs="Times New Roman"/>
          <w:sz w:val="28"/>
          <w:szCs w:val="28"/>
        </w:rPr>
        <w:t xml:space="preserve">0 % de 16 ans à plus.      </w:t>
      </w:r>
    </w:p>
    <w:p w14:paraId="280A7EAE" w14:textId="7461090B" w:rsidR="00E62B95" w:rsidRDefault="00C30EA2" w:rsidP="00557498">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Ces avancées ont été obtenues grâce à la ferme volonté du Président du Conseil National de la Transition de contribuer à maximiser les recettes de l’État, pour permettre de faire face aux </w:t>
      </w:r>
      <w:r w:rsidR="0058759C">
        <w:rPr>
          <w:rFonts w:ascii="Times New Roman" w:eastAsia="Calibri" w:hAnsi="Times New Roman" w:cs="Times New Roman"/>
          <w:sz w:val="28"/>
          <w:szCs w:val="28"/>
        </w:rPr>
        <w:t>O</w:t>
      </w:r>
      <w:r>
        <w:rPr>
          <w:rFonts w:ascii="Times New Roman" w:eastAsia="Calibri" w:hAnsi="Times New Roman" w:cs="Times New Roman"/>
          <w:sz w:val="28"/>
          <w:szCs w:val="28"/>
        </w:rPr>
        <w:t xml:space="preserve">bjectifs du </w:t>
      </w:r>
      <w:r w:rsidR="0058759C">
        <w:rPr>
          <w:rFonts w:ascii="Times New Roman" w:eastAsia="Calibri" w:hAnsi="Times New Roman" w:cs="Times New Roman"/>
          <w:sz w:val="28"/>
          <w:szCs w:val="28"/>
        </w:rPr>
        <w:t>D</w:t>
      </w:r>
      <w:r>
        <w:rPr>
          <w:rFonts w:ascii="Times New Roman" w:eastAsia="Calibri" w:hAnsi="Times New Roman" w:cs="Times New Roman"/>
          <w:sz w:val="28"/>
          <w:szCs w:val="28"/>
        </w:rPr>
        <w:t xml:space="preserve">éveloppement </w:t>
      </w:r>
      <w:r w:rsidR="0058759C">
        <w:rPr>
          <w:rFonts w:ascii="Times New Roman" w:eastAsia="Calibri" w:hAnsi="Times New Roman" w:cs="Times New Roman"/>
          <w:sz w:val="28"/>
          <w:szCs w:val="28"/>
        </w:rPr>
        <w:t>D</w:t>
      </w:r>
      <w:r>
        <w:rPr>
          <w:rFonts w:ascii="Times New Roman" w:eastAsia="Calibri" w:hAnsi="Times New Roman" w:cs="Times New Roman"/>
          <w:sz w:val="28"/>
          <w:szCs w:val="28"/>
        </w:rPr>
        <w:t>urable.</w:t>
      </w:r>
    </w:p>
    <w:p w14:paraId="2DFDCCB1" w14:textId="77777777" w:rsidR="00C95837" w:rsidRDefault="00C95837" w:rsidP="00557498">
      <w:pPr>
        <w:spacing w:after="0" w:line="360" w:lineRule="auto"/>
        <w:contextualSpacing/>
        <w:jc w:val="both"/>
        <w:rPr>
          <w:rFonts w:ascii="Times New Roman" w:eastAsia="Calibri" w:hAnsi="Times New Roman" w:cs="Times New Roman"/>
          <w:sz w:val="28"/>
          <w:szCs w:val="28"/>
        </w:rPr>
      </w:pPr>
    </w:p>
    <w:p w14:paraId="6242CDAE" w14:textId="4FAD1F9B" w:rsidR="006B4A8C" w:rsidRDefault="00C95837" w:rsidP="00557498">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A la suite de ces tractations qui ont connu une issue favorable, une </w:t>
      </w:r>
      <w:r w:rsidR="006B4A8C">
        <w:rPr>
          <w:rFonts w:ascii="Times New Roman" w:eastAsia="Calibri" w:hAnsi="Times New Roman" w:cs="Times New Roman"/>
          <w:sz w:val="28"/>
          <w:szCs w:val="28"/>
        </w:rPr>
        <w:t>inter commission</w:t>
      </w:r>
      <w:r>
        <w:rPr>
          <w:rFonts w:ascii="Times New Roman" w:eastAsia="Calibri" w:hAnsi="Times New Roman" w:cs="Times New Roman"/>
          <w:sz w:val="28"/>
          <w:szCs w:val="28"/>
        </w:rPr>
        <w:t xml:space="preserve"> dont l’objectif a été de présent</w:t>
      </w:r>
      <w:r w:rsidR="006B4A8C">
        <w:rPr>
          <w:rFonts w:ascii="Times New Roman" w:eastAsia="Calibri" w:hAnsi="Times New Roman" w:cs="Times New Roman"/>
          <w:sz w:val="28"/>
          <w:szCs w:val="28"/>
        </w:rPr>
        <w:t>er</w:t>
      </w:r>
      <w:r>
        <w:rPr>
          <w:rFonts w:ascii="Times New Roman" w:eastAsia="Calibri" w:hAnsi="Times New Roman" w:cs="Times New Roman"/>
          <w:sz w:val="28"/>
          <w:szCs w:val="28"/>
        </w:rPr>
        <w:t xml:space="preserve"> aux Conseillers Nationaux </w:t>
      </w:r>
      <w:r w:rsidR="006B4A8C">
        <w:rPr>
          <w:rFonts w:ascii="Times New Roman" w:eastAsia="Calibri" w:hAnsi="Times New Roman" w:cs="Times New Roman"/>
          <w:sz w:val="28"/>
          <w:szCs w:val="28"/>
        </w:rPr>
        <w:t xml:space="preserve">les résultats obtenus, s’est tenue le 22 mars 2024 sous la houlette du Président du </w:t>
      </w:r>
      <w:r w:rsidR="006B4A8C">
        <w:rPr>
          <w:rFonts w:ascii="Times New Roman" w:eastAsia="Calibri" w:hAnsi="Times New Roman" w:cs="Times New Roman"/>
          <w:sz w:val="28"/>
          <w:szCs w:val="28"/>
        </w:rPr>
        <w:lastRenderedPageBreak/>
        <w:t>CNT,</w:t>
      </w:r>
      <w:r w:rsidR="00454381">
        <w:rPr>
          <w:rFonts w:ascii="Times New Roman" w:eastAsia="Calibri" w:hAnsi="Times New Roman" w:cs="Times New Roman"/>
          <w:sz w:val="28"/>
          <w:szCs w:val="28"/>
        </w:rPr>
        <w:t xml:space="preserve"> en présence d</w:t>
      </w:r>
      <w:r w:rsidR="006B4A8C">
        <w:rPr>
          <w:rFonts w:ascii="Times New Roman" w:eastAsia="Calibri" w:hAnsi="Times New Roman" w:cs="Times New Roman"/>
          <w:sz w:val="28"/>
          <w:szCs w:val="28"/>
        </w:rPr>
        <w:t>es cadres des Ministères de l’Energie et des Hydrocarbures et ceux des Finances, ainsi que les promoteurs du projet.</w:t>
      </w:r>
    </w:p>
    <w:p w14:paraId="58050815" w14:textId="77777777" w:rsidR="0058759C" w:rsidRDefault="0058759C" w:rsidP="00557498">
      <w:pPr>
        <w:spacing w:after="0" w:line="360" w:lineRule="auto"/>
        <w:contextualSpacing/>
        <w:jc w:val="both"/>
        <w:rPr>
          <w:rFonts w:ascii="Times New Roman" w:eastAsia="Calibri" w:hAnsi="Times New Roman" w:cs="Times New Roman"/>
          <w:sz w:val="28"/>
          <w:szCs w:val="28"/>
        </w:rPr>
      </w:pPr>
    </w:p>
    <w:p w14:paraId="008142C1" w14:textId="6359F94E" w:rsidR="00C95837" w:rsidRDefault="006B4A8C" w:rsidP="00557498">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L’occasion a été opportune pour donner plus d’éclairage sur le projet et </w:t>
      </w:r>
      <w:r w:rsidR="00454381">
        <w:rPr>
          <w:rFonts w:ascii="Times New Roman" w:eastAsia="Calibri" w:hAnsi="Times New Roman" w:cs="Times New Roman"/>
          <w:sz w:val="28"/>
          <w:szCs w:val="28"/>
        </w:rPr>
        <w:t xml:space="preserve">son </w:t>
      </w:r>
      <w:r>
        <w:rPr>
          <w:rFonts w:ascii="Times New Roman" w:eastAsia="Calibri" w:hAnsi="Times New Roman" w:cs="Times New Roman"/>
          <w:sz w:val="28"/>
          <w:szCs w:val="28"/>
        </w:rPr>
        <w:t>impact</w:t>
      </w:r>
      <w:r w:rsidR="00454381">
        <w:rPr>
          <w:rFonts w:ascii="Times New Roman" w:eastAsia="Calibri" w:hAnsi="Times New Roman" w:cs="Times New Roman"/>
          <w:sz w:val="28"/>
          <w:szCs w:val="28"/>
        </w:rPr>
        <w:t xml:space="preserve"> socio-économique</w:t>
      </w:r>
      <w:r>
        <w:rPr>
          <w:rFonts w:ascii="Times New Roman" w:eastAsia="Calibri" w:hAnsi="Times New Roman" w:cs="Times New Roman"/>
          <w:sz w:val="28"/>
          <w:szCs w:val="28"/>
        </w:rPr>
        <w:t>.</w:t>
      </w:r>
    </w:p>
    <w:p w14:paraId="35AA9275" w14:textId="77777777" w:rsidR="00E62B95" w:rsidRDefault="00E62B95" w:rsidP="00557498">
      <w:pPr>
        <w:spacing w:after="0" w:line="360" w:lineRule="auto"/>
        <w:contextualSpacing/>
        <w:jc w:val="both"/>
        <w:rPr>
          <w:rFonts w:ascii="Times New Roman" w:eastAsia="Calibri" w:hAnsi="Times New Roman" w:cs="Times New Roman"/>
          <w:sz w:val="28"/>
          <w:szCs w:val="28"/>
        </w:rPr>
      </w:pPr>
    </w:p>
    <w:p w14:paraId="6BC163A6" w14:textId="6B673C5A" w:rsidR="00E62B95" w:rsidRDefault="006B4A8C" w:rsidP="00557498">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L’implication de la Commission du Plan, des Affaires Financières et du Contrôle Budgétaire est à saluer</w:t>
      </w:r>
      <w:r w:rsidR="0058759C">
        <w:rPr>
          <w:rFonts w:ascii="Times New Roman" w:eastAsia="Calibri" w:hAnsi="Times New Roman" w:cs="Times New Roman"/>
          <w:sz w:val="28"/>
          <w:szCs w:val="28"/>
        </w:rPr>
        <w:t>,</w:t>
      </w:r>
      <w:r>
        <w:rPr>
          <w:rFonts w:ascii="Times New Roman" w:eastAsia="Calibri" w:hAnsi="Times New Roman" w:cs="Times New Roman"/>
          <w:sz w:val="28"/>
          <w:szCs w:val="28"/>
        </w:rPr>
        <w:t xml:space="preserve"> car elle a permis de déceler bon nombre d’insuffisances du point de vue fi</w:t>
      </w:r>
      <w:r w:rsidR="003E3A44">
        <w:rPr>
          <w:rFonts w:ascii="Times New Roman" w:eastAsia="Calibri" w:hAnsi="Times New Roman" w:cs="Times New Roman"/>
          <w:sz w:val="28"/>
          <w:szCs w:val="28"/>
        </w:rPr>
        <w:t>s</w:t>
      </w:r>
      <w:r>
        <w:rPr>
          <w:rFonts w:ascii="Times New Roman" w:eastAsia="Calibri" w:hAnsi="Times New Roman" w:cs="Times New Roman"/>
          <w:sz w:val="28"/>
          <w:szCs w:val="28"/>
        </w:rPr>
        <w:t>cale et a proposé des pistes de solutions.</w:t>
      </w:r>
      <w:r w:rsidR="0058759C">
        <w:rPr>
          <w:rFonts w:ascii="Times New Roman" w:eastAsia="Calibri" w:hAnsi="Times New Roman" w:cs="Times New Roman"/>
          <w:sz w:val="28"/>
          <w:szCs w:val="28"/>
        </w:rPr>
        <w:t xml:space="preserve"> Nous félicitons également les honorables Conseillers nationaux des différentes commissions permanentes pour leurs contributions de qualités qui ont permis d’obtenir ce résultat. </w:t>
      </w:r>
    </w:p>
    <w:p w14:paraId="7518CCA4" w14:textId="77777777" w:rsidR="00E62B95" w:rsidRDefault="00E62B95" w:rsidP="00557498">
      <w:pPr>
        <w:spacing w:after="0" w:line="360" w:lineRule="auto"/>
        <w:contextualSpacing/>
        <w:jc w:val="both"/>
        <w:rPr>
          <w:rFonts w:ascii="Times New Roman" w:eastAsia="Calibri" w:hAnsi="Times New Roman" w:cs="Times New Roman"/>
          <w:sz w:val="28"/>
          <w:szCs w:val="28"/>
        </w:rPr>
      </w:pPr>
    </w:p>
    <w:p w14:paraId="536F9ACD" w14:textId="513781E0" w:rsidR="00E62B95" w:rsidRDefault="00C30EA2" w:rsidP="00557498">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Faisant suite au consensus obtenu entre toutes les parties, la Commission a l’honneur de vous présenter la Convention soumise à </w:t>
      </w:r>
      <w:r w:rsidR="00454381">
        <w:rPr>
          <w:rFonts w:ascii="Times New Roman" w:eastAsia="Calibri" w:hAnsi="Times New Roman" w:cs="Times New Roman"/>
          <w:sz w:val="28"/>
          <w:szCs w:val="28"/>
        </w:rPr>
        <w:t>v</w:t>
      </w:r>
      <w:r>
        <w:rPr>
          <w:rFonts w:ascii="Times New Roman" w:eastAsia="Calibri" w:hAnsi="Times New Roman" w:cs="Times New Roman"/>
          <w:sz w:val="28"/>
          <w:szCs w:val="28"/>
        </w:rPr>
        <w:t xml:space="preserve">otre examen </w:t>
      </w:r>
      <w:r w:rsidR="00C43137">
        <w:rPr>
          <w:rFonts w:ascii="Times New Roman" w:eastAsia="Calibri" w:hAnsi="Times New Roman" w:cs="Times New Roman"/>
          <w:sz w:val="28"/>
          <w:szCs w:val="28"/>
        </w:rPr>
        <w:t>pour</w:t>
      </w:r>
      <w:r>
        <w:rPr>
          <w:rFonts w:ascii="Times New Roman" w:eastAsia="Calibri" w:hAnsi="Times New Roman" w:cs="Times New Roman"/>
          <w:sz w:val="28"/>
          <w:szCs w:val="28"/>
        </w:rPr>
        <w:t xml:space="preserve"> adoption.</w:t>
      </w:r>
    </w:p>
    <w:p w14:paraId="7B92819C" w14:textId="77777777" w:rsidR="00E62B95" w:rsidRDefault="00E62B95" w:rsidP="00557498">
      <w:pPr>
        <w:spacing w:after="0" w:line="360" w:lineRule="auto"/>
        <w:contextualSpacing/>
        <w:jc w:val="both"/>
        <w:rPr>
          <w:rFonts w:ascii="Times New Roman" w:eastAsia="Calibri" w:hAnsi="Times New Roman" w:cs="Times New Roman"/>
          <w:b/>
          <w:sz w:val="28"/>
          <w:szCs w:val="28"/>
        </w:rPr>
      </w:pPr>
    </w:p>
    <w:p w14:paraId="3E834764" w14:textId="77777777" w:rsidR="00E62B95" w:rsidRDefault="00C30EA2" w:rsidP="00557498">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Honorables Conseillers nationaux,</w:t>
      </w:r>
    </w:p>
    <w:p w14:paraId="2C8B8B09" w14:textId="77777777" w:rsidR="0058759C" w:rsidRDefault="0058759C" w:rsidP="00557498">
      <w:pPr>
        <w:spacing w:after="0" w:line="360" w:lineRule="auto"/>
        <w:jc w:val="both"/>
        <w:rPr>
          <w:rFonts w:ascii="Times New Roman" w:eastAsia="Calibri" w:hAnsi="Times New Roman" w:cs="Times New Roman"/>
          <w:b/>
          <w:sz w:val="28"/>
          <w:szCs w:val="28"/>
        </w:rPr>
      </w:pPr>
    </w:p>
    <w:p w14:paraId="4D569BC6" w14:textId="66FCB208" w:rsidR="00E62B95" w:rsidRDefault="00C30EA2" w:rsidP="00557498">
      <w:pPr>
        <w:spacing w:after="0" w:line="360" w:lineRule="auto"/>
        <w:jc w:val="both"/>
      </w:pPr>
      <w:r>
        <w:rPr>
          <w:rFonts w:ascii="Times New Roman" w:eastAsia="Calibri" w:hAnsi="Times New Roman" w:cs="Times New Roman"/>
          <w:sz w:val="28"/>
          <w:szCs w:val="28"/>
        </w:rPr>
        <w:t>La présente convention d’établissement a pour but de promouvoir le gaz naturel (GNL) en Guinée, combustible avantageux pour la production</w:t>
      </w:r>
      <w:r w:rsidR="0058759C">
        <w:rPr>
          <w:rFonts w:ascii="Times New Roman" w:eastAsia="Calibri" w:hAnsi="Times New Roman" w:cs="Times New Roman"/>
          <w:sz w:val="28"/>
          <w:szCs w:val="28"/>
        </w:rPr>
        <w:t xml:space="preserve"> </w:t>
      </w:r>
      <w:r>
        <w:rPr>
          <w:rFonts w:ascii="Times New Roman" w:eastAsia="Calibri" w:hAnsi="Times New Roman" w:cs="Times New Roman"/>
          <w:sz w:val="28"/>
          <w:szCs w:val="28"/>
        </w:rPr>
        <w:t>d’énergie électrique à moindre coût au profit de l’économie nationale</w:t>
      </w:r>
      <w:r w:rsidR="00762401">
        <w:rPr>
          <w:rFonts w:ascii="Times New Roman" w:eastAsia="Calibri" w:hAnsi="Times New Roman" w:cs="Times New Roman"/>
          <w:sz w:val="28"/>
          <w:szCs w:val="28"/>
        </w:rPr>
        <w:t xml:space="preserve"> notamment </w:t>
      </w:r>
      <w:r>
        <w:rPr>
          <w:rFonts w:ascii="Times New Roman" w:eastAsia="Calibri" w:hAnsi="Times New Roman" w:cs="Times New Roman"/>
          <w:sz w:val="28"/>
          <w:szCs w:val="28"/>
        </w:rPr>
        <w:t xml:space="preserve">pour le développement des secteurs minier, industriel, </w:t>
      </w:r>
      <w:r w:rsidR="00762401">
        <w:rPr>
          <w:rFonts w:ascii="Times New Roman" w:eastAsia="Calibri" w:hAnsi="Times New Roman" w:cs="Times New Roman"/>
          <w:sz w:val="28"/>
          <w:szCs w:val="28"/>
        </w:rPr>
        <w:t>énergétique.</w:t>
      </w:r>
      <w:r>
        <w:rPr>
          <w:rFonts w:ascii="Times New Roman" w:eastAsia="Calibri" w:hAnsi="Times New Roman" w:cs="Times New Roman"/>
          <w:sz w:val="28"/>
          <w:szCs w:val="28"/>
        </w:rPr>
        <w:t xml:space="preserve"> </w:t>
      </w:r>
      <w:r w:rsidR="0058759C">
        <w:rPr>
          <w:rFonts w:ascii="Times New Roman" w:eastAsia="Calibri" w:hAnsi="Times New Roman" w:cs="Times New Roman"/>
          <w:sz w:val="28"/>
          <w:szCs w:val="28"/>
        </w:rPr>
        <w:t xml:space="preserve">Elle </w:t>
      </w:r>
      <w:r>
        <w:rPr>
          <w:rFonts w:ascii="Times New Roman" w:eastAsia="Calibri" w:hAnsi="Times New Roman" w:cs="Times New Roman"/>
          <w:sz w:val="28"/>
          <w:szCs w:val="28"/>
        </w:rPr>
        <w:t>vise à aider l’Etat</w:t>
      </w:r>
      <w:r w:rsidR="00426A39">
        <w:rPr>
          <w:rFonts w:ascii="Times New Roman" w:eastAsia="Calibri" w:hAnsi="Times New Roman" w:cs="Times New Roman"/>
          <w:sz w:val="28"/>
          <w:szCs w:val="28"/>
        </w:rPr>
        <w:t xml:space="preserve"> et </w:t>
      </w:r>
      <w:r w:rsidR="0058759C">
        <w:rPr>
          <w:rFonts w:ascii="Times New Roman" w:eastAsia="Calibri" w:hAnsi="Times New Roman" w:cs="Times New Roman"/>
          <w:sz w:val="28"/>
          <w:szCs w:val="28"/>
        </w:rPr>
        <w:t>la société d’</w:t>
      </w:r>
      <w:r>
        <w:rPr>
          <w:rFonts w:ascii="Times New Roman" w:eastAsia="Calibri" w:hAnsi="Times New Roman" w:cs="Times New Roman"/>
          <w:sz w:val="28"/>
          <w:szCs w:val="28"/>
        </w:rPr>
        <w:t>E</w:t>
      </w:r>
      <w:r w:rsidR="0058759C">
        <w:rPr>
          <w:rFonts w:ascii="Times New Roman" w:eastAsia="Calibri" w:hAnsi="Times New Roman" w:cs="Times New Roman"/>
          <w:sz w:val="28"/>
          <w:szCs w:val="28"/>
        </w:rPr>
        <w:t xml:space="preserve">lectricité </w:t>
      </w:r>
      <w:r>
        <w:rPr>
          <w:rFonts w:ascii="Times New Roman" w:eastAsia="Calibri" w:hAnsi="Times New Roman" w:cs="Times New Roman"/>
          <w:sz w:val="28"/>
          <w:szCs w:val="28"/>
        </w:rPr>
        <w:t>D</w:t>
      </w:r>
      <w:r w:rsidR="0058759C">
        <w:rPr>
          <w:rFonts w:ascii="Times New Roman" w:eastAsia="Calibri" w:hAnsi="Times New Roman" w:cs="Times New Roman"/>
          <w:sz w:val="28"/>
          <w:szCs w:val="28"/>
        </w:rPr>
        <w:t xml:space="preserve">e </w:t>
      </w:r>
      <w:r>
        <w:rPr>
          <w:rFonts w:ascii="Times New Roman" w:eastAsia="Calibri" w:hAnsi="Times New Roman" w:cs="Times New Roman"/>
          <w:sz w:val="28"/>
          <w:szCs w:val="28"/>
        </w:rPr>
        <w:t>G</w:t>
      </w:r>
      <w:r w:rsidR="0058759C">
        <w:rPr>
          <w:rFonts w:ascii="Times New Roman" w:eastAsia="Calibri" w:hAnsi="Times New Roman" w:cs="Times New Roman"/>
          <w:sz w:val="28"/>
          <w:szCs w:val="28"/>
        </w:rPr>
        <w:t>uinée</w:t>
      </w:r>
      <w:r w:rsidR="00426A39">
        <w:rPr>
          <w:rFonts w:ascii="Times New Roman" w:eastAsia="Calibri" w:hAnsi="Times New Roman" w:cs="Times New Roman"/>
          <w:sz w:val="28"/>
          <w:szCs w:val="28"/>
        </w:rPr>
        <w:t xml:space="preserve"> (EDG)</w:t>
      </w:r>
      <w:r>
        <w:rPr>
          <w:rFonts w:ascii="Times New Roman" w:eastAsia="Calibri" w:hAnsi="Times New Roman" w:cs="Times New Roman"/>
          <w:sz w:val="28"/>
          <w:szCs w:val="28"/>
        </w:rPr>
        <w:t xml:space="preserve"> à combler en partie la quantité d’énergie dont il</w:t>
      </w:r>
      <w:r w:rsidR="00426A39">
        <w:rPr>
          <w:rFonts w:ascii="Times New Roman" w:eastAsia="Calibri" w:hAnsi="Times New Roman" w:cs="Times New Roman"/>
          <w:sz w:val="28"/>
          <w:szCs w:val="28"/>
        </w:rPr>
        <w:t>s</w:t>
      </w:r>
      <w:r>
        <w:rPr>
          <w:rFonts w:ascii="Times New Roman" w:eastAsia="Calibri" w:hAnsi="Times New Roman" w:cs="Times New Roman"/>
          <w:sz w:val="28"/>
          <w:szCs w:val="28"/>
        </w:rPr>
        <w:t xml:space="preserve"> </w:t>
      </w:r>
      <w:r w:rsidR="00426A39">
        <w:rPr>
          <w:rFonts w:ascii="Times New Roman" w:eastAsia="Calibri" w:hAnsi="Times New Roman" w:cs="Times New Roman"/>
          <w:sz w:val="28"/>
          <w:szCs w:val="28"/>
        </w:rPr>
        <w:t xml:space="preserve">ont </w:t>
      </w:r>
      <w:r>
        <w:rPr>
          <w:rFonts w:ascii="Times New Roman" w:eastAsia="Calibri" w:hAnsi="Times New Roman" w:cs="Times New Roman"/>
          <w:sz w:val="28"/>
          <w:szCs w:val="28"/>
        </w:rPr>
        <w:t>besoin pour l’amélioration de la desserte en électricité.</w:t>
      </w:r>
    </w:p>
    <w:p w14:paraId="0EA2C99C" w14:textId="77777777" w:rsidR="00E62B95" w:rsidRDefault="00E62B95" w:rsidP="00557498">
      <w:pPr>
        <w:spacing w:after="0" w:line="360" w:lineRule="auto"/>
        <w:jc w:val="both"/>
        <w:rPr>
          <w:rFonts w:ascii="Times New Roman" w:eastAsia="Calibri" w:hAnsi="Times New Roman" w:cs="Times New Roman"/>
          <w:sz w:val="28"/>
          <w:szCs w:val="28"/>
        </w:rPr>
      </w:pPr>
    </w:p>
    <w:p w14:paraId="161D0E83" w14:textId="77777777" w:rsidR="00E62B95" w:rsidRDefault="00C30EA2" w:rsidP="00557498">
      <w:pPr>
        <w:spacing w:after="0" w:line="360" w:lineRule="auto"/>
        <w:jc w:val="both"/>
      </w:pPr>
      <w:r>
        <w:rPr>
          <w:rFonts w:ascii="Times New Roman" w:eastAsia="Calibri" w:hAnsi="Times New Roman" w:cs="Times New Roman"/>
          <w:sz w:val="28"/>
          <w:szCs w:val="28"/>
        </w:rPr>
        <w:t>La convention comporte un préambule, sept (07) parties et deux (02) annexes.</w:t>
      </w:r>
    </w:p>
    <w:p w14:paraId="73C26AD7" w14:textId="77777777" w:rsidR="00E62B95" w:rsidRDefault="00E62B95" w:rsidP="00557498">
      <w:pPr>
        <w:spacing w:after="0" w:line="360" w:lineRule="auto"/>
        <w:jc w:val="both"/>
        <w:rPr>
          <w:rFonts w:ascii="Times New Roman" w:eastAsia="Calibri" w:hAnsi="Times New Roman" w:cs="Times New Roman"/>
          <w:sz w:val="28"/>
          <w:szCs w:val="28"/>
        </w:rPr>
      </w:pPr>
    </w:p>
    <w:p w14:paraId="04899D3D" w14:textId="7539EE04" w:rsidR="00E62B95" w:rsidRDefault="00C30EA2" w:rsidP="00557498">
      <w:pPr>
        <w:pStyle w:val="Paragraphedeliste"/>
        <w:numPr>
          <w:ilvl w:val="0"/>
          <w:numId w:val="1"/>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La Partie 1 porte sur la définition, l’interprétation, la date d’entrée en vigueur, la durée et l’objet</w:t>
      </w:r>
      <w:r w:rsidR="00A346F3">
        <w:rPr>
          <w:rFonts w:ascii="Times New Roman" w:eastAsia="Calibri" w:hAnsi="Times New Roman" w:cs="Times New Roman"/>
          <w:sz w:val="28"/>
          <w:szCs w:val="28"/>
        </w:rPr>
        <w:t> ;</w:t>
      </w:r>
    </w:p>
    <w:p w14:paraId="2E61ECA0" w14:textId="01916BE7" w:rsidR="00E62B95" w:rsidRDefault="00C30EA2" w:rsidP="00557498">
      <w:pPr>
        <w:pStyle w:val="Paragraphedeliste"/>
        <w:numPr>
          <w:ilvl w:val="0"/>
          <w:numId w:val="1"/>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La partie 2 traite de la portée du projet, de la description et des phases</w:t>
      </w:r>
      <w:r w:rsidR="00A346F3">
        <w:rPr>
          <w:rFonts w:ascii="Times New Roman" w:eastAsia="Calibri" w:hAnsi="Times New Roman" w:cs="Times New Roman"/>
          <w:sz w:val="28"/>
          <w:szCs w:val="28"/>
        </w:rPr>
        <w:t> ;</w:t>
      </w:r>
    </w:p>
    <w:p w14:paraId="7DBF8A31" w14:textId="01E670DA" w:rsidR="00E62B95" w:rsidRDefault="00C30EA2" w:rsidP="00557498">
      <w:pPr>
        <w:pStyle w:val="Paragraphedeliste"/>
        <w:numPr>
          <w:ilvl w:val="0"/>
          <w:numId w:val="1"/>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La partie 3 concerne la déclaration, la garantie et la nature des obligations des parties</w:t>
      </w:r>
      <w:r w:rsidR="00A346F3">
        <w:rPr>
          <w:rFonts w:ascii="Times New Roman" w:eastAsia="Calibri" w:hAnsi="Times New Roman" w:cs="Times New Roman"/>
          <w:sz w:val="28"/>
          <w:szCs w:val="28"/>
        </w:rPr>
        <w:t> ;</w:t>
      </w:r>
    </w:p>
    <w:p w14:paraId="3825725C" w14:textId="264686AB" w:rsidR="00E62B95" w:rsidRDefault="00C30EA2" w:rsidP="00557498">
      <w:pPr>
        <w:pStyle w:val="Paragraphedeliste"/>
        <w:numPr>
          <w:ilvl w:val="0"/>
          <w:numId w:val="1"/>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La partie 4 porte sur la mise en œuvre du projet, la coopération et l’engagement</w:t>
      </w:r>
      <w:r w:rsidR="00A346F3">
        <w:rPr>
          <w:rFonts w:ascii="Times New Roman" w:eastAsia="Calibri" w:hAnsi="Times New Roman" w:cs="Times New Roman"/>
          <w:sz w:val="28"/>
          <w:szCs w:val="28"/>
        </w:rPr>
        <w:t> ;</w:t>
      </w:r>
    </w:p>
    <w:p w14:paraId="0FA1174E" w14:textId="02AE316F" w:rsidR="00E62B95" w:rsidRDefault="00C30EA2" w:rsidP="00557498">
      <w:pPr>
        <w:pStyle w:val="Paragraphedeliste"/>
        <w:numPr>
          <w:ilvl w:val="0"/>
          <w:numId w:val="1"/>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La partie 5 </w:t>
      </w:r>
      <w:r w:rsidR="00A346F3">
        <w:rPr>
          <w:rFonts w:ascii="Times New Roman" w:eastAsia="Calibri" w:hAnsi="Times New Roman" w:cs="Times New Roman"/>
          <w:sz w:val="28"/>
          <w:szCs w:val="28"/>
        </w:rPr>
        <w:t>porte sur les cas de f</w:t>
      </w:r>
      <w:r>
        <w:rPr>
          <w:rFonts w:ascii="Times New Roman" w:eastAsia="Calibri" w:hAnsi="Times New Roman" w:cs="Times New Roman"/>
          <w:sz w:val="28"/>
          <w:szCs w:val="28"/>
        </w:rPr>
        <w:t>orce majeure, expropriation et résiliation</w:t>
      </w:r>
      <w:r w:rsidR="00A346F3">
        <w:rPr>
          <w:rFonts w:ascii="Times New Roman" w:eastAsia="Calibri" w:hAnsi="Times New Roman" w:cs="Times New Roman"/>
          <w:sz w:val="28"/>
          <w:szCs w:val="28"/>
        </w:rPr>
        <w:t> ;</w:t>
      </w:r>
    </w:p>
    <w:p w14:paraId="3207C3AF" w14:textId="39A18EE5" w:rsidR="00E62B95" w:rsidRDefault="00C30EA2" w:rsidP="00557498">
      <w:pPr>
        <w:pStyle w:val="Paragraphedeliste"/>
        <w:numPr>
          <w:ilvl w:val="0"/>
          <w:numId w:val="1"/>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La partie 6 traite des impôts et douanes</w:t>
      </w:r>
      <w:r w:rsidR="00A346F3">
        <w:rPr>
          <w:rFonts w:ascii="Times New Roman" w:eastAsia="Calibri" w:hAnsi="Times New Roman" w:cs="Times New Roman"/>
          <w:sz w:val="28"/>
          <w:szCs w:val="28"/>
        </w:rPr>
        <w:t> ;</w:t>
      </w:r>
    </w:p>
    <w:p w14:paraId="6EEADAD3" w14:textId="77777777" w:rsidR="00E62B95" w:rsidRDefault="00C30EA2" w:rsidP="00557498">
      <w:pPr>
        <w:pStyle w:val="Paragraphedeliste"/>
        <w:numPr>
          <w:ilvl w:val="0"/>
          <w:numId w:val="1"/>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La partie 7 concerne les stipulations finales.</w:t>
      </w:r>
    </w:p>
    <w:p w14:paraId="42D9D114" w14:textId="77777777" w:rsidR="00E62B95" w:rsidRDefault="00E62B95" w:rsidP="00557498">
      <w:pPr>
        <w:spacing w:after="0" w:line="360" w:lineRule="auto"/>
        <w:contextualSpacing/>
        <w:jc w:val="both"/>
        <w:rPr>
          <w:rFonts w:ascii="Times New Roman" w:eastAsia="Calibri" w:hAnsi="Times New Roman" w:cs="Times New Roman"/>
          <w:sz w:val="28"/>
          <w:szCs w:val="28"/>
        </w:rPr>
      </w:pPr>
    </w:p>
    <w:p w14:paraId="3936D2FE" w14:textId="77777777" w:rsidR="00E62B95" w:rsidRDefault="00C30EA2" w:rsidP="00557498">
      <w:pPr>
        <w:spacing w:after="0" w:line="36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Honorables Conseillers nationaux</w:t>
      </w:r>
    </w:p>
    <w:p w14:paraId="0749353D" w14:textId="77777777" w:rsidR="00E62B95" w:rsidRDefault="00E62B95" w:rsidP="00557498">
      <w:pPr>
        <w:spacing w:after="0" w:line="360" w:lineRule="auto"/>
        <w:contextualSpacing/>
        <w:jc w:val="both"/>
        <w:rPr>
          <w:rFonts w:ascii="Times New Roman" w:eastAsia="Calibri" w:hAnsi="Times New Roman" w:cs="Times New Roman"/>
          <w:sz w:val="28"/>
          <w:szCs w:val="28"/>
        </w:rPr>
      </w:pPr>
    </w:p>
    <w:p w14:paraId="1E8C2C45" w14:textId="77777777" w:rsidR="00E62B95" w:rsidRDefault="00C30EA2" w:rsidP="00557498">
      <w:pPr>
        <w:spacing w:after="0" w:line="360" w:lineRule="auto"/>
        <w:contextualSpacing/>
        <w:jc w:val="both"/>
      </w:pPr>
      <w:r>
        <w:rPr>
          <w:rFonts w:ascii="Times New Roman" w:eastAsia="Calibri" w:hAnsi="Times New Roman" w:cs="Times New Roman"/>
          <w:sz w:val="28"/>
          <w:szCs w:val="28"/>
        </w:rPr>
        <w:t xml:space="preserve">L’adoption de cette convention permettra à West </w:t>
      </w:r>
      <w:proofErr w:type="spellStart"/>
      <w:r>
        <w:rPr>
          <w:rFonts w:ascii="Times New Roman" w:eastAsia="Calibri" w:hAnsi="Times New Roman" w:cs="Times New Roman"/>
          <w:sz w:val="28"/>
          <w:szCs w:val="28"/>
        </w:rPr>
        <w:t>Africa</w:t>
      </w:r>
      <w:proofErr w:type="spellEnd"/>
      <w:r>
        <w:rPr>
          <w:rFonts w:ascii="Times New Roman" w:eastAsia="Calibri" w:hAnsi="Times New Roman" w:cs="Times New Roman"/>
          <w:sz w:val="28"/>
          <w:szCs w:val="28"/>
        </w:rPr>
        <w:t xml:space="preserve"> LNG Group (WALNG) de construire un réseau d’approvisionnement et de distribution du gaz naturel liquéfié en République de Guinée. </w:t>
      </w:r>
    </w:p>
    <w:p w14:paraId="028B1502" w14:textId="77777777" w:rsidR="00E62B95" w:rsidRDefault="00E62B95" w:rsidP="00557498">
      <w:pPr>
        <w:spacing w:after="0" w:line="360" w:lineRule="auto"/>
        <w:contextualSpacing/>
        <w:jc w:val="both"/>
        <w:rPr>
          <w:rFonts w:ascii="Times New Roman" w:eastAsia="Calibri" w:hAnsi="Times New Roman" w:cs="Times New Roman"/>
          <w:sz w:val="28"/>
          <w:szCs w:val="28"/>
        </w:rPr>
      </w:pPr>
    </w:p>
    <w:p w14:paraId="2CB19B36" w14:textId="77777777" w:rsidR="00E62B95" w:rsidRDefault="00C30EA2" w:rsidP="00557498">
      <w:pPr>
        <w:spacing w:after="0" w:line="360" w:lineRule="auto"/>
        <w:contextualSpacing/>
        <w:jc w:val="both"/>
      </w:pPr>
      <w:r>
        <w:rPr>
          <w:rFonts w:ascii="Times New Roman" w:eastAsia="Calibri" w:hAnsi="Times New Roman" w:cs="Times New Roman"/>
          <w:sz w:val="28"/>
          <w:szCs w:val="28"/>
        </w:rPr>
        <w:t>Le projet comprend plusieurs terminaux de réception, des centrales de production de gaz et un réseau de distribution complet.</w:t>
      </w:r>
    </w:p>
    <w:p w14:paraId="349C23E9" w14:textId="77777777" w:rsidR="00E62B95" w:rsidRDefault="00E62B95" w:rsidP="00557498">
      <w:pPr>
        <w:spacing w:after="0" w:line="360" w:lineRule="auto"/>
        <w:contextualSpacing/>
        <w:jc w:val="both"/>
        <w:rPr>
          <w:rFonts w:ascii="Times New Roman" w:eastAsia="Calibri" w:hAnsi="Times New Roman" w:cs="Times New Roman"/>
          <w:sz w:val="28"/>
          <w:szCs w:val="28"/>
        </w:rPr>
      </w:pPr>
    </w:p>
    <w:p w14:paraId="651A8273" w14:textId="3E612952" w:rsidR="00E62B95" w:rsidRDefault="00C30EA2" w:rsidP="00557498">
      <w:pPr>
        <w:spacing w:after="0" w:line="360" w:lineRule="auto"/>
        <w:contextualSpacing/>
        <w:jc w:val="both"/>
      </w:pPr>
      <w:r>
        <w:rPr>
          <w:rFonts w:ascii="Times New Roman" w:eastAsia="Calibri" w:hAnsi="Times New Roman" w:cs="Times New Roman"/>
          <w:sz w:val="28"/>
          <w:szCs w:val="28"/>
        </w:rPr>
        <w:t xml:space="preserve">Cette initiative traduit la volonté du promoteur de contribuer positivement à l’amélioration des conditions de vie des guinéens à travers la transformation des </w:t>
      </w:r>
      <w:r w:rsidR="002B2629">
        <w:rPr>
          <w:rFonts w:ascii="Times New Roman" w:eastAsia="Calibri" w:hAnsi="Times New Roman" w:cs="Times New Roman"/>
          <w:sz w:val="28"/>
          <w:szCs w:val="28"/>
        </w:rPr>
        <w:t xml:space="preserve">produits du </w:t>
      </w:r>
      <w:r>
        <w:rPr>
          <w:rFonts w:ascii="Times New Roman" w:eastAsia="Calibri" w:hAnsi="Times New Roman" w:cs="Times New Roman"/>
          <w:sz w:val="28"/>
          <w:szCs w:val="28"/>
        </w:rPr>
        <w:t xml:space="preserve">secteurs minier, agricole, industriel et résidentiel en fournissant du gaz naturel à un coût abordable et respectueux de l’environnement. </w:t>
      </w:r>
    </w:p>
    <w:p w14:paraId="450B69B1" w14:textId="77777777" w:rsidR="00E62B95" w:rsidRDefault="00E62B95" w:rsidP="00557498">
      <w:pPr>
        <w:spacing w:after="0" w:line="360" w:lineRule="auto"/>
        <w:contextualSpacing/>
        <w:jc w:val="both"/>
        <w:rPr>
          <w:rFonts w:ascii="Times New Roman" w:eastAsia="Calibri" w:hAnsi="Times New Roman" w:cs="Times New Roman"/>
          <w:sz w:val="28"/>
          <w:szCs w:val="28"/>
        </w:rPr>
      </w:pPr>
    </w:p>
    <w:p w14:paraId="61E28510" w14:textId="77777777" w:rsidR="00E62B95" w:rsidRDefault="00C30EA2" w:rsidP="00557498">
      <w:pPr>
        <w:spacing w:after="0" w:line="360" w:lineRule="auto"/>
        <w:contextualSpacing/>
        <w:jc w:val="both"/>
      </w:pPr>
      <w:r>
        <w:rPr>
          <w:rFonts w:ascii="Times New Roman" w:eastAsia="Calibri" w:hAnsi="Times New Roman" w:cs="Times New Roman"/>
          <w:sz w:val="28"/>
          <w:szCs w:val="28"/>
        </w:rPr>
        <w:t>Les bénéfices attendus de ce projet se résument comme suit :</w:t>
      </w:r>
    </w:p>
    <w:p w14:paraId="4A17A7E1" w14:textId="77777777" w:rsidR="00E62B95" w:rsidRDefault="00E62B95" w:rsidP="00557498">
      <w:pPr>
        <w:spacing w:after="0" w:line="360" w:lineRule="auto"/>
        <w:contextualSpacing/>
        <w:jc w:val="both"/>
        <w:rPr>
          <w:rFonts w:ascii="Times New Roman" w:eastAsia="Calibri" w:hAnsi="Times New Roman" w:cs="Times New Roman"/>
          <w:sz w:val="28"/>
          <w:szCs w:val="28"/>
        </w:rPr>
      </w:pPr>
    </w:p>
    <w:p w14:paraId="08904041" w14:textId="77777777" w:rsidR="00E62B95" w:rsidRDefault="00C30EA2" w:rsidP="00557498">
      <w:pPr>
        <w:numPr>
          <w:ilvl w:val="0"/>
          <w:numId w:val="3"/>
        </w:numPr>
        <w:spacing w:after="0" w:line="360" w:lineRule="auto"/>
        <w:contextualSpacing/>
        <w:jc w:val="both"/>
      </w:pPr>
      <w:r>
        <w:rPr>
          <w:rFonts w:ascii="Times New Roman" w:eastAsia="Calibri" w:hAnsi="Times New Roman" w:cs="Times New Roman"/>
          <w:sz w:val="28"/>
          <w:szCs w:val="28"/>
        </w:rPr>
        <w:t>Le gaz naturel est le combustible le plus optimal pour l’extraction et la transformation de la bauxite et les autres secteurs de l’économie guinéenne ;</w:t>
      </w:r>
    </w:p>
    <w:p w14:paraId="20FDA51A" w14:textId="77777777" w:rsidR="00E62B95" w:rsidRDefault="00C30EA2" w:rsidP="00557498">
      <w:pPr>
        <w:numPr>
          <w:ilvl w:val="0"/>
          <w:numId w:val="3"/>
        </w:numPr>
        <w:spacing w:after="0" w:line="360" w:lineRule="auto"/>
        <w:contextualSpacing/>
        <w:jc w:val="both"/>
      </w:pPr>
      <w:r>
        <w:rPr>
          <w:rFonts w:ascii="Times New Roman" w:eastAsia="Calibri" w:hAnsi="Times New Roman" w:cs="Times New Roman"/>
          <w:sz w:val="28"/>
          <w:szCs w:val="28"/>
        </w:rPr>
        <w:lastRenderedPageBreak/>
        <w:t>Il est abondant, propre, et à un coût plus abordable par rapport aux autres types de combustibles ;</w:t>
      </w:r>
    </w:p>
    <w:p w14:paraId="3DB3A5B8" w14:textId="77777777" w:rsidR="00E62B95" w:rsidRDefault="00C30EA2" w:rsidP="00557498">
      <w:pPr>
        <w:numPr>
          <w:ilvl w:val="0"/>
          <w:numId w:val="3"/>
        </w:numPr>
        <w:spacing w:after="0" w:line="360" w:lineRule="auto"/>
        <w:contextualSpacing/>
        <w:jc w:val="both"/>
      </w:pPr>
      <w:r>
        <w:rPr>
          <w:rFonts w:ascii="Times New Roman" w:eastAsia="Calibri" w:hAnsi="Times New Roman" w:cs="Times New Roman"/>
          <w:sz w:val="28"/>
          <w:szCs w:val="28"/>
        </w:rPr>
        <w:t>Les compagnies minières vont réaliser des bénéfices substantiels en utilisant le gaz naturel au lieu du diesel ou du fioul lourd (HFO) ;</w:t>
      </w:r>
    </w:p>
    <w:p w14:paraId="2FE9646D" w14:textId="77777777" w:rsidR="00E62B95" w:rsidRDefault="00C30EA2" w:rsidP="00557498">
      <w:pPr>
        <w:numPr>
          <w:ilvl w:val="0"/>
          <w:numId w:val="3"/>
        </w:numPr>
        <w:spacing w:after="0" w:line="360" w:lineRule="auto"/>
        <w:contextualSpacing/>
        <w:jc w:val="both"/>
      </w:pPr>
      <w:r>
        <w:rPr>
          <w:rFonts w:ascii="Times New Roman" w:eastAsia="Calibri" w:hAnsi="Times New Roman" w:cs="Times New Roman"/>
          <w:sz w:val="28"/>
          <w:szCs w:val="28"/>
        </w:rPr>
        <w:t>La trésorerie guinéenne enregistrera une augmentation des revenus miniers grâce à la construction d’installations à forte valeur ajoutée telles que des raffineries d’alumine et d’autres unités industrielles ;</w:t>
      </w:r>
    </w:p>
    <w:p w14:paraId="27BE889C" w14:textId="69AD429A" w:rsidR="00E62B95" w:rsidRDefault="00C30EA2" w:rsidP="00557498">
      <w:pPr>
        <w:numPr>
          <w:ilvl w:val="0"/>
          <w:numId w:val="3"/>
        </w:numPr>
        <w:spacing w:after="0" w:line="360" w:lineRule="auto"/>
        <w:contextualSpacing/>
        <w:jc w:val="both"/>
      </w:pPr>
      <w:r>
        <w:rPr>
          <w:rFonts w:ascii="Times New Roman" w:eastAsia="Calibri" w:hAnsi="Times New Roman" w:cs="Times New Roman"/>
          <w:sz w:val="28"/>
          <w:szCs w:val="28"/>
        </w:rPr>
        <w:t>Le gaz naturel contribuera à la protection de l’environnement et de la santé en</w:t>
      </w:r>
      <w:r w:rsidR="00C43137">
        <w:rPr>
          <w:rFonts w:ascii="Times New Roman" w:eastAsia="Calibri" w:hAnsi="Times New Roman" w:cs="Times New Roman"/>
          <w:sz w:val="28"/>
          <w:szCs w:val="28"/>
        </w:rPr>
        <w:t xml:space="preserve"> République de</w:t>
      </w:r>
      <w:r>
        <w:rPr>
          <w:rFonts w:ascii="Times New Roman" w:eastAsia="Calibri" w:hAnsi="Times New Roman" w:cs="Times New Roman"/>
          <w:sz w:val="28"/>
          <w:szCs w:val="28"/>
        </w:rPr>
        <w:t xml:space="preserve"> Guinée.</w:t>
      </w:r>
    </w:p>
    <w:p w14:paraId="538B886F" w14:textId="77777777" w:rsidR="00E62B95" w:rsidRDefault="00E62B95" w:rsidP="00557498">
      <w:pPr>
        <w:spacing w:after="0" w:line="360" w:lineRule="auto"/>
        <w:contextualSpacing/>
        <w:jc w:val="both"/>
        <w:rPr>
          <w:rFonts w:ascii="Times New Roman" w:eastAsia="Calibri" w:hAnsi="Times New Roman" w:cs="Times New Roman"/>
          <w:sz w:val="28"/>
          <w:szCs w:val="28"/>
        </w:rPr>
      </w:pPr>
    </w:p>
    <w:p w14:paraId="2AFDFA45" w14:textId="77777777" w:rsidR="00E62B95" w:rsidRDefault="00C30EA2" w:rsidP="00557498">
      <w:pPr>
        <w:spacing w:after="0" w:line="360" w:lineRule="auto"/>
        <w:contextualSpacing/>
        <w:jc w:val="both"/>
      </w:pPr>
      <w:r>
        <w:rPr>
          <w:rFonts w:ascii="Times New Roman" w:eastAsia="Calibri" w:hAnsi="Times New Roman" w:cs="Times New Roman"/>
          <w:sz w:val="28"/>
          <w:szCs w:val="28"/>
        </w:rPr>
        <w:t>S’agissant des raffineries d’aluminium, il est prouvé que le gaz naturel est le meilleur combustible en raison du fait que le gaz est un composant essentiel au processus de traitement de la bauxite.</w:t>
      </w:r>
    </w:p>
    <w:p w14:paraId="6C76EAC7" w14:textId="77777777" w:rsidR="00E62B95" w:rsidRDefault="00E62B95" w:rsidP="00557498">
      <w:pPr>
        <w:spacing w:after="0" w:line="360" w:lineRule="auto"/>
        <w:contextualSpacing/>
        <w:jc w:val="both"/>
        <w:rPr>
          <w:rFonts w:ascii="Times New Roman" w:eastAsia="Calibri" w:hAnsi="Times New Roman" w:cs="Times New Roman"/>
          <w:sz w:val="28"/>
          <w:szCs w:val="28"/>
        </w:rPr>
      </w:pPr>
    </w:p>
    <w:p w14:paraId="2919B999" w14:textId="368274C4" w:rsidR="00E62B95" w:rsidRDefault="00C30EA2" w:rsidP="00557498">
      <w:pPr>
        <w:spacing w:after="0" w:line="360" w:lineRule="auto"/>
        <w:contextualSpacing/>
        <w:jc w:val="both"/>
      </w:pPr>
      <w:r>
        <w:rPr>
          <w:rFonts w:ascii="Times New Roman" w:eastAsia="Calibri" w:hAnsi="Times New Roman" w:cs="Times New Roman"/>
          <w:sz w:val="28"/>
          <w:szCs w:val="28"/>
        </w:rPr>
        <w:t xml:space="preserve">Aussi, permettez-nous de faire remarquer que pour les raffineries à base de charbon, ce dernier doit être traité pour faire du gaz naturel avec une efficacité énergétique de 70 % contrairement à 100 % avec le gaz naturel. </w:t>
      </w:r>
      <w:r w:rsidR="00C43137">
        <w:rPr>
          <w:rFonts w:ascii="Times New Roman" w:eastAsia="Calibri" w:hAnsi="Times New Roman" w:cs="Times New Roman"/>
          <w:sz w:val="28"/>
          <w:szCs w:val="28"/>
        </w:rPr>
        <w:t>Ainsi,</w:t>
      </w:r>
      <w:r>
        <w:rPr>
          <w:rFonts w:ascii="Times New Roman" w:eastAsia="Calibri" w:hAnsi="Times New Roman" w:cs="Times New Roman"/>
          <w:sz w:val="28"/>
          <w:szCs w:val="28"/>
        </w:rPr>
        <w:t xml:space="preserve"> l’usage du gaz permet de gagner en efficacité énergétique avec pour conséquence une réduction des coûts de production et de transformation de la matière première.</w:t>
      </w:r>
    </w:p>
    <w:p w14:paraId="4A5A214A" w14:textId="77777777" w:rsidR="00E62B95" w:rsidRDefault="00E62B95" w:rsidP="00557498">
      <w:pPr>
        <w:spacing w:after="0" w:line="360" w:lineRule="auto"/>
        <w:contextualSpacing/>
        <w:jc w:val="both"/>
        <w:rPr>
          <w:rFonts w:ascii="Times New Roman" w:eastAsia="Calibri" w:hAnsi="Times New Roman" w:cs="Times New Roman"/>
          <w:sz w:val="28"/>
          <w:szCs w:val="28"/>
        </w:rPr>
      </w:pPr>
    </w:p>
    <w:p w14:paraId="7EBBDDE9" w14:textId="0E774CB0" w:rsidR="00E62B95" w:rsidRDefault="00C30EA2" w:rsidP="00557498">
      <w:pPr>
        <w:spacing w:after="0" w:line="360" w:lineRule="auto"/>
        <w:contextualSpacing/>
        <w:jc w:val="both"/>
      </w:pPr>
      <w:r>
        <w:rPr>
          <w:rFonts w:ascii="Times New Roman" w:eastAsia="Calibri" w:hAnsi="Times New Roman" w:cs="Times New Roman"/>
          <w:sz w:val="28"/>
          <w:szCs w:val="28"/>
        </w:rPr>
        <w:t xml:space="preserve">Au plan environnemental, il est démontré que le gaz naturel produit moins de la moitié du gaz carbonique et beaucoup moins de </w:t>
      </w:r>
      <w:r w:rsidR="006319B6">
        <w:rPr>
          <w:rFonts w:ascii="Times New Roman" w:eastAsia="Calibri" w:hAnsi="Times New Roman" w:cs="Times New Roman"/>
          <w:sz w:val="28"/>
          <w:szCs w:val="28"/>
        </w:rPr>
        <w:t>dioxyde de</w:t>
      </w:r>
      <w:r>
        <w:rPr>
          <w:rFonts w:ascii="Times New Roman" w:eastAsia="Calibri" w:hAnsi="Times New Roman" w:cs="Times New Roman"/>
          <w:sz w:val="28"/>
          <w:szCs w:val="28"/>
        </w:rPr>
        <w:t xml:space="preserve"> soufre que le charbon pour produire la même quantité de chaleur.</w:t>
      </w:r>
    </w:p>
    <w:p w14:paraId="083D1F2C" w14:textId="77777777" w:rsidR="00E62B95" w:rsidRDefault="00E62B95" w:rsidP="00557498">
      <w:pPr>
        <w:spacing w:after="0" w:line="360" w:lineRule="auto"/>
        <w:contextualSpacing/>
        <w:jc w:val="both"/>
        <w:rPr>
          <w:rFonts w:ascii="Times New Roman" w:eastAsia="Calibri" w:hAnsi="Times New Roman" w:cs="Times New Roman"/>
          <w:sz w:val="28"/>
          <w:szCs w:val="28"/>
        </w:rPr>
      </w:pPr>
    </w:p>
    <w:p w14:paraId="2BE18146" w14:textId="77777777" w:rsidR="00E62B95" w:rsidRDefault="00C30EA2" w:rsidP="00557498">
      <w:pPr>
        <w:spacing w:after="0" w:line="360" w:lineRule="auto"/>
        <w:contextualSpacing/>
        <w:jc w:val="both"/>
      </w:pPr>
      <w:r>
        <w:rPr>
          <w:rFonts w:ascii="Times New Roman" w:eastAsia="Calibri" w:hAnsi="Times New Roman" w:cs="Times New Roman"/>
          <w:sz w:val="28"/>
          <w:szCs w:val="28"/>
        </w:rPr>
        <w:t>De plus, le gaz naturel permet de réduire les émissions de gaz à effet de serre d’environ 30 % par rapport au diesel. De même, lorsqu’il est utilisé pour la production d’électricité, il peut réduire les émissions de plus de 40 % par rapport au charbon ou aux autres types de carburant utilisés par les bateaux.</w:t>
      </w:r>
    </w:p>
    <w:p w14:paraId="05292D4E" w14:textId="77777777" w:rsidR="00E62B95" w:rsidRDefault="00E62B95" w:rsidP="00557498">
      <w:pPr>
        <w:spacing w:after="0" w:line="360" w:lineRule="auto"/>
        <w:contextualSpacing/>
        <w:jc w:val="both"/>
        <w:rPr>
          <w:rFonts w:ascii="Times New Roman" w:eastAsia="Calibri" w:hAnsi="Times New Roman" w:cs="Times New Roman"/>
          <w:sz w:val="28"/>
          <w:szCs w:val="28"/>
        </w:rPr>
      </w:pPr>
    </w:p>
    <w:p w14:paraId="17BBB8C5" w14:textId="77777777" w:rsidR="00E62B95" w:rsidRDefault="00C30EA2" w:rsidP="00557498">
      <w:pPr>
        <w:spacing w:after="0" w:line="360" w:lineRule="auto"/>
        <w:contextualSpacing/>
        <w:jc w:val="both"/>
      </w:pPr>
      <w:r>
        <w:rPr>
          <w:rFonts w:ascii="Times New Roman" w:eastAsia="Calibri" w:hAnsi="Times New Roman" w:cs="Times New Roman"/>
          <w:sz w:val="28"/>
          <w:szCs w:val="28"/>
        </w:rPr>
        <w:lastRenderedPageBreak/>
        <w:t>En fin, contrairement au charbon, la combustion du gaz naturel ne laisse aucun résidu ni cendre pouvant contaminer les rivières et les ruisseaux.</w:t>
      </w:r>
    </w:p>
    <w:p w14:paraId="17AC1039" w14:textId="77777777" w:rsidR="00E62B95" w:rsidRDefault="00E62B95" w:rsidP="00557498">
      <w:pPr>
        <w:spacing w:after="0" w:line="360" w:lineRule="auto"/>
        <w:contextualSpacing/>
        <w:jc w:val="both"/>
        <w:rPr>
          <w:rFonts w:ascii="Times New Roman" w:eastAsia="Calibri" w:hAnsi="Times New Roman" w:cs="Times New Roman"/>
          <w:sz w:val="28"/>
          <w:szCs w:val="28"/>
        </w:rPr>
      </w:pPr>
    </w:p>
    <w:p w14:paraId="3EF70617" w14:textId="77777777" w:rsidR="00E62B95" w:rsidRDefault="00C30EA2" w:rsidP="00557498">
      <w:pPr>
        <w:spacing w:after="0" w:line="360" w:lineRule="auto"/>
        <w:contextualSpacing/>
        <w:jc w:val="both"/>
        <w:rPr>
          <w:b/>
          <w:bCs/>
        </w:rPr>
      </w:pPr>
      <w:r>
        <w:rPr>
          <w:rFonts w:ascii="Times New Roman" w:eastAsia="Calibri" w:hAnsi="Times New Roman" w:cs="Times New Roman"/>
          <w:b/>
          <w:bCs/>
          <w:sz w:val="28"/>
          <w:szCs w:val="28"/>
        </w:rPr>
        <w:t xml:space="preserve">Honorables Conseillers nationaux, </w:t>
      </w:r>
    </w:p>
    <w:p w14:paraId="25B180B7" w14:textId="77777777" w:rsidR="00E62B95" w:rsidRDefault="00E62B95" w:rsidP="00557498">
      <w:pPr>
        <w:spacing w:after="0" w:line="360" w:lineRule="auto"/>
        <w:contextualSpacing/>
        <w:jc w:val="both"/>
        <w:rPr>
          <w:rFonts w:ascii="Times New Roman" w:eastAsia="Calibri" w:hAnsi="Times New Roman" w:cs="Times New Roman"/>
          <w:sz w:val="28"/>
          <w:szCs w:val="28"/>
        </w:rPr>
      </w:pPr>
    </w:p>
    <w:p w14:paraId="6840F037" w14:textId="18633C47" w:rsidR="00E62B95" w:rsidRPr="00BF3D77" w:rsidRDefault="00C30EA2" w:rsidP="00557498">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Ce projet intervient dans un contexte marqué par les instructions fermes du </w:t>
      </w:r>
      <w:r w:rsidRPr="00BF3D77">
        <w:rPr>
          <w:rFonts w:ascii="Times New Roman" w:eastAsia="Calibri" w:hAnsi="Times New Roman" w:cs="Times New Roman"/>
          <w:b/>
          <w:bCs/>
          <w:sz w:val="28"/>
          <w:szCs w:val="28"/>
        </w:rPr>
        <w:t xml:space="preserve">Président de la </w:t>
      </w:r>
      <w:r w:rsidR="00BF3D77" w:rsidRPr="00BF3D77">
        <w:rPr>
          <w:rFonts w:ascii="Times New Roman" w:eastAsia="Calibri" w:hAnsi="Times New Roman" w:cs="Times New Roman"/>
          <w:b/>
          <w:bCs/>
          <w:sz w:val="28"/>
          <w:szCs w:val="28"/>
        </w:rPr>
        <w:t xml:space="preserve">République, le Général de Corps d’Armée, </w:t>
      </w:r>
      <w:proofErr w:type="spellStart"/>
      <w:r w:rsidR="00BF3D77" w:rsidRPr="00BF3D77">
        <w:rPr>
          <w:rFonts w:ascii="Times New Roman" w:eastAsia="Calibri" w:hAnsi="Times New Roman" w:cs="Times New Roman"/>
          <w:b/>
          <w:bCs/>
          <w:sz w:val="28"/>
          <w:szCs w:val="28"/>
        </w:rPr>
        <w:t>Mamadi</w:t>
      </w:r>
      <w:proofErr w:type="spellEnd"/>
      <w:r w:rsidR="00BF3D77" w:rsidRPr="00BF3D77">
        <w:rPr>
          <w:rFonts w:ascii="Times New Roman" w:eastAsia="Calibri" w:hAnsi="Times New Roman" w:cs="Times New Roman"/>
          <w:b/>
          <w:bCs/>
          <w:sz w:val="28"/>
          <w:szCs w:val="28"/>
        </w:rPr>
        <w:t xml:space="preserve"> DOUMBOUYA</w:t>
      </w:r>
      <w:r w:rsidR="00BF3D77">
        <w:rPr>
          <w:rFonts w:ascii="Times New Roman" w:eastAsia="Calibri" w:hAnsi="Times New Roman" w:cs="Times New Roman"/>
          <w:b/>
          <w:bCs/>
          <w:sz w:val="28"/>
          <w:szCs w:val="28"/>
        </w:rPr>
        <w:t>,</w:t>
      </w:r>
      <w:r>
        <w:rPr>
          <w:rFonts w:ascii="Times New Roman" w:eastAsia="Calibri" w:hAnsi="Times New Roman" w:cs="Times New Roman"/>
          <w:sz w:val="28"/>
          <w:szCs w:val="28"/>
        </w:rPr>
        <w:t xml:space="preserve"> à l’endroit des sociétés minières pour la construction des raffineries sur</w:t>
      </w:r>
      <w:r w:rsidR="002B2629">
        <w:rPr>
          <w:rFonts w:ascii="Times New Roman" w:eastAsia="Calibri" w:hAnsi="Times New Roman" w:cs="Times New Roman"/>
          <w:sz w:val="28"/>
          <w:szCs w:val="28"/>
        </w:rPr>
        <w:t xml:space="preserve"> le</w:t>
      </w:r>
      <w:r>
        <w:rPr>
          <w:rFonts w:ascii="Times New Roman" w:eastAsia="Calibri" w:hAnsi="Times New Roman" w:cs="Times New Roman"/>
          <w:sz w:val="28"/>
          <w:szCs w:val="28"/>
        </w:rPr>
        <w:t xml:space="preserve"> sol</w:t>
      </w:r>
      <w:r w:rsidR="002B2629">
        <w:rPr>
          <w:rFonts w:ascii="Times New Roman" w:eastAsia="Calibri" w:hAnsi="Times New Roman" w:cs="Times New Roman"/>
          <w:sz w:val="28"/>
          <w:szCs w:val="28"/>
        </w:rPr>
        <w:t xml:space="preserve"> guinéen</w:t>
      </w:r>
      <w:r>
        <w:rPr>
          <w:rFonts w:ascii="Times New Roman" w:eastAsia="Calibri" w:hAnsi="Times New Roman" w:cs="Times New Roman"/>
          <w:sz w:val="28"/>
          <w:szCs w:val="28"/>
        </w:rPr>
        <w:t xml:space="preserve">. </w:t>
      </w:r>
      <w:r w:rsidR="00BF3D7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La mise en œuvre de ces instructions pourrait être facilitée par la réalisation de ce projet porté par West </w:t>
      </w:r>
      <w:proofErr w:type="spellStart"/>
      <w:r>
        <w:rPr>
          <w:rFonts w:ascii="Times New Roman" w:eastAsia="Calibri" w:hAnsi="Times New Roman" w:cs="Times New Roman"/>
          <w:sz w:val="28"/>
          <w:szCs w:val="28"/>
        </w:rPr>
        <w:t>Africa</w:t>
      </w:r>
      <w:proofErr w:type="spellEnd"/>
      <w:r>
        <w:rPr>
          <w:rFonts w:ascii="Times New Roman" w:eastAsia="Calibri" w:hAnsi="Times New Roman" w:cs="Times New Roman"/>
          <w:sz w:val="28"/>
          <w:szCs w:val="28"/>
        </w:rPr>
        <w:t xml:space="preserve"> LNG Group.</w:t>
      </w:r>
    </w:p>
    <w:p w14:paraId="1E4C60A0" w14:textId="77777777" w:rsidR="00E62B95" w:rsidRDefault="00E62B95" w:rsidP="00557498">
      <w:pPr>
        <w:spacing w:after="0" w:line="360" w:lineRule="auto"/>
        <w:contextualSpacing/>
        <w:jc w:val="both"/>
        <w:rPr>
          <w:rFonts w:ascii="Times New Roman" w:eastAsia="Calibri" w:hAnsi="Times New Roman" w:cs="Times New Roman"/>
          <w:sz w:val="28"/>
          <w:szCs w:val="28"/>
        </w:rPr>
      </w:pPr>
    </w:p>
    <w:p w14:paraId="73238A27" w14:textId="04011259" w:rsidR="00E62B95" w:rsidRDefault="00C30EA2" w:rsidP="00557498">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C’est pourquoi, la Commission apprécie hautement cette initiative, salue l’engagement du </w:t>
      </w:r>
      <w:r w:rsidR="00BF3D77">
        <w:rPr>
          <w:rFonts w:ascii="Times New Roman" w:eastAsia="Calibri" w:hAnsi="Times New Roman" w:cs="Times New Roman"/>
          <w:sz w:val="28"/>
          <w:szCs w:val="28"/>
        </w:rPr>
        <w:t>G</w:t>
      </w:r>
      <w:r>
        <w:rPr>
          <w:rFonts w:ascii="Times New Roman" w:eastAsia="Calibri" w:hAnsi="Times New Roman" w:cs="Times New Roman"/>
          <w:sz w:val="28"/>
          <w:szCs w:val="28"/>
        </w:rPr>
        <w:t xml:space="preserve">ouvernement guinéen en faveur du secteur de l’énergie, remercie et félicite les </w:t>
      </w:r>
      <w:r w:rsidR="00BF3D77">
        <w:rPr>
          <w:rFonts w:ascii="Times New Roman" w:eastAsia="Calibri" w:hAnsi="Times New Roman" w:cs="Times New Roman"/>
          <w:sz w:val="28"/>
          <w:szCs w:val="28"/>
        </w:rPr>
        <w:t>h</w:t>
      </w:r>
      <w:r>
        <w:rPr>
          <w:rFonts w:ascii="Times New Roman" w:eastAsia="Calibri" w:hAnsi="Times New Roman" w:cs="Times New Roman"/>
          <w:sz w:val="28"/>
          <w:szCs w:val="28"/>
        </w:rPr>
        <w:t>onorables Conseillers nationaux et cadres qui ont activement participé à l’examen de cette importante convention.</w:t>
      </w:r>
    </w:p>
    <w:p w14:paraId="4AEC422C" w14:textId="77777777" w:rsidR="006319B6" w:rsidRDefault="006319B6" w:rsidP="00557498">
      <w:pPr>
        <w:spacing w:after="0" w:line="360" w:lineRule="auto"/>
        <w:contextualSpacing/>
        <w:jc w:val="both"/>
      </w:pPr>
    </w:p>
    <w:p w14:paraId="2EC1D63E" w14:textId="77777777" w:rsidR="00BF3D77" w:rsidRDefault="00BF3D77" w:rsidP="00557498">
      <w:pPr>
        <w:spacing w:after="0" w:line="360" w:lineRule="auto"/>
        <w:contextualSpacing/>
        <w:jc w:val="both"/>
        <w:rPr>
          <w:rFonts w:ascii="Times New Roman" w:eastAsia="Calibri" w:hAnsi="Times New Roman" w:cs="Times New Roman"/>
          <w:b/>
          <w:bCs/>
          <w:sz w:val="28"/>
          <w:szCs w:val="28"/>
        </w:rPr>
      </w:pPr>
    </w:p>
    <w:p w14:paraId="34AA529B" w14:textId="77777777" w:rsidR="00BF3D77" w:rsidRDefault="00BF3D77" w:rsidP="00557498">
      <w:pPr>
        <w:spacing w:after="0" w:line="360" w:lineRule="auto"/>
        <w:contextualSpacing/>
        <w:jc w:val="both"/>
        <w:rPr>
          <w:rFonts w:ascii="Times New Roman" w:eastAsia="Calibri" w:hAnsi="Times New Roman" w:cs="Times New Roman"/>
          <w:b/>
          <w:bCs/>
          <w:sz w:val="28"/>
          <w:szCs w:val="28"/>
        </w:rPr>
      </w:pPr>
    </w:p>
    <w:p w14:paraId="19A93B20" w14:textId="77777777" w:rsidR="00BF3D77" w:rsidRDefault="00BF3D77" w:rsidP="00557498">
      <w:pPr>
        <w:spacing w:after="0" w:line="360" w:lineRule="auto"/>
        <w:contextualSpacing/>
        <w:jc w:val="both"/>
        <w:rPr>
          <w:rFonts w:ascii="Times New Roman" w:eastAsia="Calibri" w:hAnsi="Times New Roman" w:cs="Times New Roman"/>
          <w:b/>
          <w:bCs/>
          <w:sz w:val="28"/>
          <w:szCs w:val="28"/>
        </w:rPr>
      </w:pPr>
    </w:p>
    <w:p w14:paraId="538865D1" w14:textId="052FE678" w:rsidR="00E62B95" w:rsidRDefault="00C30EA2" w:rsidP="00557498">
      <w:pPr>
        <w:spacing w:after="0" w:line="360" w:lineRule="auto"/>
        <w:contextualSpacing/>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Honorables Conseillers nationaux,</w:t>
      </w:r>
    </w:p>
    <w:p w14:paraId="251308DA" w14:textId="77777777" w:rsidR="00BF3D77" w:rsidRPr="002B2629" w:rsidRDefault="00BF3D77" w:rsidP="00557498">
      <w:pPr>
        <w:spacing w:after="0" w:line="360" w:lineRule="auto"/>
        <w:contextualSpacing/>
        <w:jc w:val="both"/>
        <w:rPr>
          <w:b/>
          <w:bCs/>
        </w:rPr>
      </w:pPr>
    </w:p>
    <w:p w14:paraId="2432EABF" w14:textId="2EFE0ADD" w:rsidR="00E62B95" w:rsidRDefault="00C30EA2" w:rsidP="00557498">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Considérant les bénéfices énumérés ci- dessus, et eu égard à la volonté de notre </w:t>
      </w:r>
      <w:r w:rsidR="00BF3D77">
        <w:rPr>
          <w:rFonts w:ascii="Times New Roman" w:eastAsia="Calibri" w:hAnsi="Times New Roman" w:cs="Times New Roman"/>
          <w:sz w:val="28"/>
          <w:szCs w:val="28"/>
        </w:rPr>
        <w:t>G</w:t>
      </w:r>
      <w:r>
        <w:rPr>
          <w:rFonts w:ascii="Times New Roman" w:eastAsia="Calibri" w:hAnsi="Times New Roman" w:cs="Times New Roman"/>
          <w:sz w:val="28"/>
          <w:szCs w:val="28"/>
        </w:rPr>
        <w:t>ouvernement</w:t>
      </w:r>
      <w:r w:rsidR="002B2629">
        <w:rPr>
          <w:rFonts w:ascii="Times New Roman" w:eastAsia="Calibri" w:hAnsi="Times New Roman" w:cs="Times New Roman"/>
          <w:sz w:val="28"/>
          <w:szCs w:val="28"/>
        </w:rPr>
        <w:t xml:space="preserve"> à </w:t>
      </w:r>
      <w:r>
        <w:rPr>
          <w:rFonts w:ascii="Times New Roman" w:eastAsia="Calibri" w:hAnsi="Times New Roman" w:cs="Times New Roman"/>
          <w:sz w:val="28"/>
          <w:szCs w:val="28"/>
        </w:rPr>
        <w:t>améliorer le secteur du gaz, la Commission</w:t>
      </w:r>
      <w:r w:rsidR="002B2629">
        <w:rPr>
          <w:rFonts w:ascii="Times New Roman" w:eastAsia="Calibri" w:hAnsi="Times New Roman" w:cs="Times New Roman"/>
          <w:sz w:val="28"/>
          <w:szCs w:val="28"/>
        </w:rPr>
        <w:t xml:space="preserve"> des Affaires Economiques et du Développement Durable</w:t>
      </w:r>
      <w:r>
        <w:rPr>
          <w:rFonts w:ascii="Times New Roman" w:eastAsia="Calibri" w:hAnsi="Times New Roman" w:cs="Times New Roman"/>
          <w:sz w:val="28"/>
          <w:szCs w:val="28"/>
        </w:rPr>
        <w:t xml:space="preserve">, après concertation avec les commissions d’avis, estime que </w:t>
      </w:r>
      <w:r w:rsidR="001F242C">
        <w:rPr>
          <w:rFonts w:ascii="Times New Roman" w:eastAsia="Calibri" w:hAnsi="Times New Roman" w:cs="Times New Roman"/>
          <w:sz w:val="28"/>
          <w:szCs w:val="28"/>
        </w:rPr>
        <w:t>cette</w:t>
      </w:r>
      <w:r>
        <w:rPr>
          <w:rFonts w:ascii="Times New Roman" w:eastAsia="Calibri" w:hAnsi="Times New Roman" w:cs="Times New Roman"/>
          <w:sz w:val="28"/>
          <w:szCs w:val="28"/>
        </w:rPr>
        <w:t xml:space="preserve"> Convention et ses documents annexes peuvent être adoptés par le Conseil National de la Transition.</w:t>
      </w:r>
    </w:p>
    <w:p w14:paraId="50646280" w14:textId="66FB05DF" w:rsidR="00E62B95" w:rsidRPr="00DF1E0F" w:rsidRDefault="00DF1E0F" w:rsidP="00557498">
      <w:pPr>
        <w:spacing w:after="0" w:line="360" w:lineRule="auto"/>
        <w:contextualSpacing/>
        <w:jc w:val="right"/>
        <w:rPr>
          <w:rFonts w:ascii="Times New Roman" w:eastAsia="Calibri" w:hAnsi="Times New Roman" w:cs="Times New Roman"/>
          <w:b/>
          <w:bCs/>
          <w:sz w:val="28"/>
          <w:szCs w:val="28"/>
        </w:rPr>
      </w:pPr>
      <w:r w:rsidRPr="00DF1E0F">
        <w:rPr>
          <w:rFonts w:ascii="Times New Roman" w:eastAsia="Calibri" w:hAnsi="Times New Roman" w:cs="Times New Roman"/>
          <w:b/>
          <w:bCs/>
          <w:sz w:val="28"/>
          <w:szCs w:val="28"/>
        </w:rPr>
        <w:t>Je vous remercie</w:t>
      </w:r>
    </w:p>
    <w:p w14:paraId="36239C6C" w14:textId="77777777" w:rsidR="00E62B95" w:rsidRDefault="00E62B95" w:rsidP="00557498">
      <w:pPr>
        <w:spacing w:after="0" w:line="360" w:lineRule="auto"/>
        <w:ind w:left="5664" w:firstLine="708"/>
        <w:contextualSpacing/>
        <w:jc w:val="both"/>
        <w:rPr>
          <w:rFonts w:ascii="Times New Roman" w:eastAsia="Calibri" w:hAnsi="Times New Roman" w:cs="Times New Roman"/>
          <w:sz w:val="28"/>
          <w:szCs w:val="28"/>
        </w:rPr>
      </w:pPr>
    </w:p>
    <w:p w14:paraId="0F349F7F" w14:textId="77777777" w:rsidR="00E62B95" w:rsidRDefault="00E62B95" w:rsidP="00557498">
      <w:pPr>
        <w:spacing w:after="0" w:line="360" w:lineRule="auto"/>
        <w:ind w:left="5664" w:firstLine="708"/>
        <w:contextualSpacing/>
        <w:jc w:val="both"/>
        <w:rPr>
          <w:rFonts w:ascii="Times New Roman" w:eastAsia="Calibri" w:hAnsi="Times New Roman" w:cs="Times New Roman"/>
          <w:sz w:val="28"/>
          <w:szCs w:val="28"/>
        </w:rPr>
      </w:pPr>
    </w:p>
    <w:p w14:paraId="70D790D1" w14:textId="77777777" w:rsidR="00E62B95" w:rsidRDefault="00C30EA2" w:rsidP="00557498">
      <w:pPr>
        <w:spacing w:after="0" w:line="360" w:lineRule="auto"/>
        <w:ind w:left="6372" w:firstLine="708"/>
        <w:contextualSpacing/>
        <w:jc w:val="both"/>
      </w:pPr>
      <w:r>
        <w:rPr>
          <w:rFonts w:ascii="Times New Roman" w:eastAsia="Calibri" w:hAnsi="Times New Roman" w:cs="Times New Roman"/>
          <w:b/>
          <w:sz w:val="28"/>
          <w:szCs w:val="28"/>
          <w:u w:val="single"/>
        </w:rPr>
        <w:lastRenderedPageBreak/>
        <w:t>La Commission</w:t>
      </w:r>
    </w:p>
    <w:sectPr w:rsidR="00E62B95">
      <w:footerReference w:type="default" r:id="rId11"/>
      <w:pgSz w:w="11906" w:h="16838"/>
      <w:pgMar w:top="1417" w:right="1417" w:bottom="1417" w:left="1417" w:header="0" w:footer="720"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CDC38" w14:textId="77777777" w:rsidR="008114C4" w:rsidRDefault="008114C4">
      <w:pPr>
        <w:spacing w:after="0" w:line="240" w:lineRule="auto"/>
      </w:pPr>
      <w:r>
        <w:separator/>
      </w:r>
    </w:p>
  </w:endnote>
  <w:endnote w:type="continuationSeparator" w:id="0">
    <w:p w14:paraId="4E9B2E44" w14:textId="77777777" w:rsidR="008114C4" w:rsidRDefault="00811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OpenSymbol">
    <w:altName w:val="Cambria"/>
    <w:charset w:val="00"/>
    <w:family w:val="roman"/>
    <w:pitch w:val="variable"/>
  </w:font>
  <w:font w:name="Courier New">
    <w:altName w:val="Courier New PS"/>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ide Latin">
    <w:panose1 w:val="020A0A070505050204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721408"/>
      <w:docPartObj>
        <w:docPartGallery w:val="Page Numbers (Bottom of Page)"/>
        <w:docPartUnique/>
      </w:docPartObj>
    </w:sdtPr>
    <w:sdtContent>
      <w:p w14:paraId="38D4593D" w14:textId="77777777" w:rsidR="00E62B95" w:rsidRDefault="00C30EA2">
        <w:pPr>
          <w:pStyle w:val="Pieddepage"/>
          <w:jc w:val="right"/>
        </w:pPr>
        <w:r>
          <w:fldChar w:fldCharType="begin"/>
        </w:r>
        <w:r>
          <w:instrText>PAGE</w:instrText>
        </w:r>
        <w:r>
          <w:fldChar w:fldCharType="separate"/>
        </w:r>
        <w:r>
          <w:t>6</w:t>
        </w:r>
        <w:r>
          <w:fldChar w:fldCharType="end"/>
        </w:r>
      </w:p>
    </w:sdtContent>
  </w:sdt>
  <w:p w14:paraId="45704224" w14:textId="77777777" w:rsidR="00E62B95" w:rsidRDefault="00E62B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689CD" w14:textId="77777777" w:rsidR="008114C4" w:rsidRDefault="008114C4">
      <w:pPr>
        <w:spacing w:after="0" w:line="240" w:lineRule="auto"/>
      </w:pPr>
      <w:r>
        <w:separator/>
      </w:r>
    </w:p>
  </w:footnote>
  <w:footnote w:type="continuationSeparator" w:id="0">
    <w:p w14:paraId="19BEF7C3" w14:textId="77777777" w:rsidR="008114C4" w:rsidRDefault="00811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6F9"/>
    <w:multiLevelType w:val="multilevel"/>
    <w:tmpl w:val="3E908AC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47E389F"/>
    <w:multiLevelType w:val="multilevel"/>
    <w:tmpl w:val="B8C4ACC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 w15:restartNumberingAfterBreak="0">
    <w:nsid w:val="33477279"/>
    <w:multiLevelType w:val="multilevel"/>
    <w:tmpl w:val="D3C01E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Wingdings" w:hAnsi="Wingdings" w:cs="Open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1D66EFE"/>
    <w:multiLevelType w:val="hybridMultilevel"/>
    <w:tmpl w:val="CA5CBA3E"/>
    <w:lvl w:ilvl="0" w:tplc="20000005">
      <w:start w:val="1"/>
      <w:numFmt w:val="bullet"/>
      <w:lvlText w:val=""/>
      <w:lvlJc w:val="left"/>
      <w:pPr>
        <w:ind w:left="789" w:hanging="360"/>
      </w:pPr>
      <w:rPr>
        <w:rFonts w:ascii="Wingdings" w:hAnsi="Wingdings" w:hint="default"/>
      </w:rPr>
    </w:lvl>
    <w:lvl w:ilvl="1" w:tplc="040C0003" w:tentative="1">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abstractNum w:abstractNumId="4" w15:restartNumberingAfterBreak="0">
    <w:nsid w:val="655D78E7"/>
    <w:multiLevelType w:val="hybridMultilevel"/>
    <w:tmpl w:val="F26004E6"/>
    <w:lvl w:ilvl="0" w:tplc="2000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BF1A50"/>
    <w:multiLevelType w:val="multilevel"/>
    <w:tmpl w:val="6C58D8EE"/>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08D2C04"/>
    <w:multiLevelType w:val="multilevel"/>
    <w:tmpl w:val="C060CF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809594897">
    <w:abstractNumId w:val="5"/>
  </w:num>
  <w:num w:numId="2" w16cid:durableId="69039609">
    <w:abstractNumId w:val="2"/>
  </w:num>
  <w:num w:numId="3" w16cid:durableId="1229416038">
    <w:abstractNumId w:val="0"/>
  </w:num>
  <w:num w:numId="4" w16cid:durableId="2080709387">
    <w:abstractNumId w:val="1"/>
  </w:num>
  <w:num w:numId="5" w16cid:durableId="1539392190">
    <w:abstractNumId w:val="6"/>
  </w:num>
  <w:num w:numId="6" w16cid:durableId="182595127">
    <w:abstractNumId w:val="3"/>
  </w:num>
  <w:num w:numId="7" w16cid:durableId="18337154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B95"/>
    <w:rsid w:val="00037462"/>
    <w:rsid w:val="00097446"/>
    <w:rsid w:val="001A7882"/>
    <w:rsid w:val="001F242C"/>
    <w:rsid w:val="002B2629"/>
    <w:rsid w:val="002E72B9"/>
    <w:rsid w:val="003714C0"/>
    <w:rsid w:val="003E3A44"/>
    <w:rsid w:val="00426A39"/>
    <w:rsid w:val="00454381"/>
    <w:rsid w:val="00531C2F"/>
    <w:rsid w:val="00550FB3"/>
    <w:rsid w:val="00557498"/>
    <w:rsid w:val="00563894"/>
    <w:rsid w:val="0058759C"/>
    <w:rsid w:val="005B1146"/>
    <w:rsid w:val="00606770"/>
    <w:rsid w:val="006319B6"/>
    <w:rsid w:val="006560CD"/>
    <w:rsid w:val="006B4A8C"/>
    <w:rsid w:val="00762401"/>
    <w:rsid w:val="008114C4"/>
    <w:rsid w:val="008B222A"/>
    <w:rsid w:val="00926B88"/>
    <w:rsid w:val="009811A8"/>
    <w:rsid w:val="009A5AC9"/>
    <w:rsid w:val="00A346F3"/>
    <w:rsid w:val="00A42A30"/>
    <w:rsid w:val="00A518F7"/>
    <w:rsid w:val="00A52EFD"/>
    <w:rsid w:val="00A814D1"/>
    <w:rsid w:val="00AB4419"/>
    <w:rsid w:val="00B461B6"/>
    <w:rsid w:val="00BF3D77"/>
    <w:rsid w:val="00C11E63"/>
    <w:rsid w:val="00C30EA2"/>
    <w:rsid w:val="00C43137"/>
    <w:rsid w:val="00C95837"/>
    <w:rsid w:val="00DB1C17"/>
    <w:rsid w:val="00DD0A28"/>
    <w:rsid w:val="00DF1E0F"/>
    <w:rsid w:val="00E62B95"/>
    <w:rsid w:val="00E8699E"/>
    <w:rsid w:val="00E91193"/>
    <w:rsid w:val="00EC513F"/>
    <w:rsid w:val="00ED545B"/>
    <w:rsid w:val="00F6482E"/>
    <w:rsid w:val="00F8719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9D4A4"/>
  <w15:docId w15:val="{3363E374-24AE-4AB1-BDAB-7C325C4E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B58"/>
    <w:pPr>
      <w:spacing w:after="160" w:line="259"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uiPriority w:val="99"/>
    <w:semiHidden/>
    <w:qFormat/>
    <w:rsid w:val="00D21B58"/>
  </w:style>
  <w:style w:type="character" w:customStyle="1" w:styleId="CitationintenseCar">
    <w:name w:val="Citation intense Car"/>
    <w:basedOn w:val="Policepardfaut"/>
    <w:link w:val="Citationintense"/>
    <w:uiPriority w:val="30"/>
    <w:qFormat/>
    <w:rsid w:val="0049267E"/>
    <w:rPr>
      <w:i/>
      <w:iCs/>
      <w:color w:val="5B9BD5" w:themeColor="accent1"/>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imes New Roman" w:eastAsia="Calibri" w:hAnsi="Times New Roman" w:cs="Times New Roman"/>
      <w:sz w:val="28"/>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ListLabel8">
    <w:name w:val="ListLabel 8"/>
    <w:qFormat/>
    <w:rPr>
      <w:rFonts w:ascii="Times New Roman" w:hAnsi="Times New Roman" w:cs="Times New Roman"/>
      <w:sz w:val="28"/>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OpenSymbol"/>
    </w:rPr>
  </w:style>
  <w:style w:type="paragraph" w:customStyle="1" w:styleId="Heading">
    <w:name w:val="Heading"/>
    <w:basedOn w:val="Normal"/>
    <w:next w:val="Corpsdetexte"/>
    <w:qFormat/>
    <w:pPr>
      <w:keepNext/>
      <w:spacing w:before="240" w:after="120"/>
    </w:pPr>
    <w:rPr>
      <w:rFonts w:ascii="Arial" w:eastAsia="Microsoft YaHei" w:hAnsi="Arial"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ieddepage">
    <w:name w:val="footer"/>
    <w:basedOn w:val="Normal"/>
    <w:link w:val="PieddepageCar"/>
    <w:uiPriority w:val="99"/>
    <w:semiHidden/>
    <w:unhideWhenUsed/>
    <w:rsid w:val="00D21B58"/>
    <w:pPr>
      <w:tabs>
        <w:tab w:val="center" w:pos="4513"/>
        <w:tab w:val="right" w:pos="9026"/>
      </w:tabs>
      <w:spacing w:after="0" w:line="240" w:lineRule="auto"/>
    </w:pPr>
  </w:style>
  <w:style w:type="paragraph" w:styleId="Paragraphedeliste">
    <w:name w:val="List Paragraph"/>
    <w:basedOn w:val="Normal"/>
    <w:uiPriority w:val="34"/>
    <w:qFormat/>
    <w:rsid w:val="00D21B58"/>
    <w:pPr>
      <w:ind w:left="720"/>
      <w:contextualSpacing/>
    </w:pPr>
  </w:style>
  <w:style w:type="paragraph" w:styleId="Citationintense">
    <w:name w:val="Intense Quote"/>
    <w:basedOn w:val="Normal"/>
    <w:next w:val="Normal"/>
    <w:link w:val="CitationintenseCar"/>
    <w:uiPriority w:val="30"/>
    <w:qFormat/>
    <w:rsid w:val="0049267E"/>
    <w:pPr>
      <w:pBdr>
        <w:top w:val="single" w:sz="4" w:space="10" w:color="5B9BD5"/>
        <w:bottom w:val="single" w:sz="4" w:space="10" w:color="5B9BD5"/>
      </w:pBdr>
      <w:spacing w:before="360" w:after="360"/>
      <w:ind w:left="864" w:right="864"/>
      <w:jc w:val="center"/>
    </w:pPr>
    <w:rPr>
      <w:i/>
      <w:iCs/>
      <w:color w:val="5B9BD5" w:themeColor="accent1"/>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0823B1D591604E8EA4CDB8D6C78401" ma:contentTypeVersion="15" ma:contentTypeDescription="Create a new document." ma:contentTypeScope="" ma:versionID="41e03997708e0049d7d77028f6c8452b">
  <xsd:schema xmlns:xsd="http://www.w3.org/2001/XMLSchema" xmlns:xs="http://www.w3.org/2001/XMLSchema" xmlns:p="http://schemas.microsoft.com/office/2006/metadata/properties" xmlns:ns3="4c368de5-a5d7-4356-a403-5868b50e5fd3" xmlns:ns4="9825c93a-47e3-4978-8e5c-180703236895" targetNamespace="http://schemas.microsoft.com/office/2006/metadata/properties" ma:root="true" ma:fieldsID="80445c8d1313f876816d771823e69ef2" ns3:_="" ns4:_="">
    <xsd:import namespace="4c368de5-a5d7-4356-a403-5868b50e5fd3"/>
    <xsd:import namespace="9825c93a-47e3-4978-8e5c-18070323689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_activity" minOccurs="0"/>
                <xsd:element ref="ns3:MediaServiceLocatio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68de5-a5d7-4356-a403-5868b50e5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25c93a-47e3-4978-8e5c-180703236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c368de5-a5d7-4356-a403-5868b50e5fd3" xsi:nil="true"/>
  </documentManagement>
</p:properties>
</file>

<file path=customXml/itemProps1.xml><?xml version="1.0" encoding="utf-8"?>
<ds:datastoreItem xmlns:ds="http://schemas.openxmlformats.org/officeDocument/2006/customXml" ds:itemID="{D3B8D2F5-C018-4431-9FEB-757B79E70628}">
  <ds:schemaRefs>
    <ds:schemaRef ds:uri="http://schemas.microsoft.com/sharepoint/v3/contenttype/forms"/>
  </ds:schemaRefs>
</ds:datastoreItem>
</file>

<file path=customXml/itemProps2.xml><?xml version="1.0" encoding="utf-8"?>
<ds:datastoreItem xmlns:ds="http://schemas.openxmlformats.org/officeDocument/2006/customXml" ds:itemID="{25EEA184-C4E8-42C8-A997-22D208312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68de5-a5d7-4356-a403-5868b50e5fd3"/>
    <ds:schemaRef ds:uri="9825c93a-47e3-4978-8e5c-180703236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2C2470-E6E4-48D6-A164-84795FB1E06A}">
  <ds:schemaRefs>
    <ds:schemaRef ds:uri="http://schemas.microsoft.com/office/2006/metadata/properties"/>
    <ds:schemaRef ds:uri="http://schemas.microsoft.com/office/infopath/2007/PartnerControls"/>
    <ds:schemaRef ds:uri="4c368de5-a5d7-4356-a403-5868b50e5fd3"/>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10</Pages>
  <Words>1938</Words>
  <Characters>10660</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DEMSY</dc:creator>
  <dc:description/>
  <cp:lastModifiedBy>Souleymane Toure</cp:lastModifiedBy>
  <cp:revision>6</cp:revision>
  <cp:lastPrinted>2024-04-25T09:08:00Z</cp:lastPrinted>
  <dcterms:created xsi:type="dcterms:W3CDTF">2024-04-24T23:01:00Z</dcterms:created>
  <dcterms:modified xsi:type="dcterms:W3CDTF">2024-04-25T10:08:00Z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0x0101009F0823B1D591604E8EA4CDB8D6C78401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